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716F" w14:textId="49CF6B38" w:rsidR="00223FDF" w:rsidRDefault="009C06A2" w:rsidP="00223FDF">
      <w:pPr>
        <w:tabs>
          <w:tab w:val="left" w:pos="528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b/>
          <w:noProof/>
          <w:lang w:eastAsia="de-DE"/>
        </w:rPr>
        <w:t xml:space="preserve"> </w:t>
      </w:r>
    </w:p>
    <w:tbl>
      <w:tblPr>
        <w:tblW w:w="11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3827"/>
        <w:gridCol w:w="5387"/>
      </w:tblGrid>
      <w:tr w:rsidR="00223FDF" w:rsidRPr="00223FDF" w14:paraId="1A0F47D6" w14:textId="77777777" w:rsidTr="00CE3261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11191" w:type="dxa"/>
            <w:gridSpan w:val="3"/>
            <w:shd w:val="clear" w:color="auto" w:fill="193965"/>
          </w:tcPr>
          <w:p w14:paraId="55041E67" w14:textId="77777777" w:rsidR="00223FDF" w:rsidRPr="00223FDF" w:rsidRDefault="00223FDF" w:rsidP="00223FDF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223FDF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Risikobereiche bei Alleinarbeit </w:t>
            </w:r>
          </w:p>
        </w:tc>
      </w:tr>
      <w:tr w:rsidR="00223FDF" w:rsidRPr="00223FDF" w14:paraId="3A11629D" w14:textId="77777777" w:rsidTr="00CE3261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977" w:type="dxa"/>
            <w:shd w:val="clear" w:color="auto" w:fill="C7E3AB"/>
          </w:tcPr>
          <w:p w14:paraId="57439E3A" w14:textId="77777777" w:rsidR="00223FDF" w:rsidRPr="00223FDF" w:rsidRDefault="00223FDF" w:rsidP="00223FD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3FD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Risiko </w:t>
            </w:r>
          </w:p>
        </w:tc>
        <w:tc>
          <w:tcPr>
            <w:tcW w:w="3827" w:type="dxa"/>
            <w:shd w:val="clear" w:color="auto" w:fill="C7E3AB"/>
          </w:tcPr>
          <w:p w14:paraId="581A0DD5" w14:textId="77777777" w:rsidR="00223FDF" w:rsidRPr="00223FDF" w:rsidRDefault="00223FDF" w:rsidP="00223FD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3FD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Warnsignale </w:t>
            </w:r>
          </w:p>
        </w:tc>
        <w:tc>
          <w:tcPr>
            <w:tcW w:w="5387" w:type="dxa"/>
            <w:shd w:val="clear" w:color="auto" w:fill="C7E3AB"/>
          </w:tcPr>
          <w:p w14:paraId="7A917A65" w14:textId="77777777" w:rsidR="00223FDF" w:rsidRPr="00223FDF" w:rsidRDefault="00223FDF" w:rsidP="00223FD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3FD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Sofortmaßnahmen </w:t>
            </w:r>
          </w:p>
        </w:tc>
      </w:tr>
      <w:tr w:rsidR="00223FDF" w:rsidRPr="00223FDF" w14:paraId="6B50C3DF" w14:textId="77777777" w:rsidTr="00CE3261">
        <w:tblPrEx>
          <w:tblCellMar>
            <w:top w:w="0" w:type="dxa"/>
            <w:bottom w:w="0" w:type="dxa"/>
          </w:tblCellMar>
        </w:tblPrEx>
        <w:trPr>
          <w:trHeight w:val="677"/>
          <w:jc w:val="center"/>
        </w:trPr>
        <w:tc>
          <w:tcPr>
            <w:tcW w:w="1977" w:type="dxa"/>
          </w:tcPr>
          <w:p w14:paraId="4800E67E" w14:textId="77777777" w:rsidR="00223FDF" w:rsidRPr="00223FDF" w:rsidRDefault="00223FDF" w:rsidP="00223FD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23FD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Sexuelle Übergriffe </w:t>
            </w:r>
          </w:p>
        </w:tc>
        <w:tc>
          <w:tcPr>
            <w:tcW w:w="3827" w:type="dxa"/>
          </w:tcPr>
          <w:p w14:paraId="7A20647C" w14:textId="06CC2497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anzügliche Kommentare </w:t>
            </w:r>
          </w:p>
          <w:p w14:paraId="47BBEAD3" w14:textId="1C800ADB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Festhalten </w:t>
            </w:r>
          </w:p>
          <w:p w14:paraId="0F2C6B36" w14:textId="1F277D6E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Berührungen </w:t>
            </w:r>
          </w:p>
          <w:p w14:paraId="210C0D01" w14:textId="77777777" w:rsid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„Stalking“/Nähe-Suche </w:t>
            </w:r>
          </w:p>
          <w:p w14:paraId="10155E1D" w14:textId="1933BE03" w:rsidR="00223FDF" w:rsidRPr="00223FDF" w:rsidRDefault="00223FDF" w:rsidP="00223FDF">
            <w:pPr>
              <w:spacing w:before="120" w:after="120"/>
              <w:ind w:left="13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5387" w:type="dxa"/>
          </w:tcPr>
          <w:p w14:paraId="7F816249" w14:textId="7871832E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Grenzen klar benennen („Stopp – ich möchte das nicht!“) </w:t>
            </w:r>
          </w:p>
          <w:p w14:paraId="21A492BE" w14:textId="7D35FE7F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Abstand halten </w:t>
            </w:r>
          </w:p>
          <w:p w14:paraId="419E3F31" w14:textId="66C87AE7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Tür (Fluchtweg) offenhalten </w:t>
            </w:r>
          </w:p>
          <w:p w14:paraId="6EEB0F2B" w14:textId="44DEEE61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Vorfälle dokumentieren </w:t>
            </w:r>
          </w:p>
          <w:p w14:paraId="22ECA3B3" w14:textId="69D993B4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Fallbesprechung initiieren </w:t>
            </w:r>
          </w:p>
        </w:tc>
      </w:tr>
      <w:tr w:rsidR="00223FDF" w:rsidRPr="00223FDF" w14:paraId="5E832887" w14:textId="77777777" w:rsidTr="00CE3261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977" w:type="dxa"/>
          </w:tcPr>
          <w:p w14:paraId="1477248C" w14:textId="77777777" w:rsidR="00223FDF" w:rsidRPr="00223FDF" w:rsidRDefault="00223FDF" w:rsidP="00223FD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23FD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Pflegeabwehr und körperliche Aggression </w:t>
            </w:r>
          </w:p>
        </w:tc>
        <w:tc>
          <w:tcPr>
            <w:tcW w:w="3827" w:type="dxa"/>
          </w:tcPr>
          <w:p w14:paraId="587A3839" w14:textId="733B588D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Schlagen </w:t>
            </w:r>
          </w:p>
          <w:p w14:paraId="63CBD845" w14:textId="78A5E02B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Treten </w:t>
            </w:r>
          </w:p>
          <w:p w14:paraId="1E34A8AF" w14:textId="218EA0C8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Spucken </w:t>
            </w:r>
          </w:p>
          <w:p w14:paraId="3025355C" w14:textId="540E252E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>Abwehr von Maßnahmen</w:t>
            </w:r>
          </w:p>
        </w:tc>
        <w:tc>
          <w:tcPr>
            <w:tcW w:w="5387" w:type="dxa"/>
          </w:tcPr>
          <w:p w14:paraId="366505FF" w14:textId="6A38E94B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Maßnahmen abbrechen </w:t>
            </w:r>
          </w:p>
          <w:p w14:paraId="5CA3EB11" w14:textId="492D7B4F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Zurückweichen </w:t>
            </w:r>
          </w:p>
          <w:p w14:paraId="177DC671" w14:textId="6B1CDE89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Ruhe bewahren </w:t>
            </w:r>
          </w:p>
          <w:p w14:paraId="633E0CEF" w14:textId="78CA1FEE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Grundsatz: eigene Sicherheit geht vor Versorgung </w:t>
            </w:r>
          </w:p>
        </w:tc>
      </w:tr>
      <w:tr w:rsidR="00223FDF" w:rsidRPr="00223FDF" w14:paraId="003F74B8" w14:textId="77777777" w:rsidTr="00CE3261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977" w:type="dxa"/>
          </w:tcPr>
          <w:p w14:paraId="68B6BEF9" w14:textId="77777777" w:rsidR="00223FDF" w:rsidRPr="00223FDF" w:rsidRDefault="00223FDF" w:rsidP="00223FD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23FD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Psychiatrische Krisen </w:t>
            </w:r>
          </w:p>
        </w:tc>
        <w:tc>
          <w:tcPr>
            <w:tcW w:w="3827" w:type="dxa"/>
          </w:tcPr>
          <w:p w14:paraId="54CCC892" w14:textId="52F9684B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Wahnerleben </w:t>
            </w:r>
          </w:p>
          <w:p w14:paraId="4F376846" w14:textId="66B55693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Verfolgungsideen </w:t>
            </w:r>
          </w:p>
          <w:p w14:paraId="1BA81A1A" w14:textId="568736D8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impulsives Verhalten </w:t>
            </w:r>
          </w:p>
          <w:p w14:paraId="206B8099" w14:textId="0F0BC505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Stimmungsschwankungen </w:t>
            </w:r>
          </w:p>
        </w:tc>
        <w:tc>
          <w:tcPr>
            <w:tcW w:w="5387" w:type="dxa"/>
          </w:tcPr>
          <w:p w14:paraId="12F08C92" w14:textId="254B8E73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Distanz halten </w:t>
            </w:r>
          </w:p>
          <w:p w14:paraId="314D8B57" w14:textId="6C9DF1FC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deeskalierend sprechen </w:t>
            </w:r>
          </w:p>
          <w:p w14:paraId="06E75B55" w14:textId="34C9C689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nicht widersprechen </w:t>
            </w:r>
          </w:p>
          <w:p w14:paraId="561BB6C5" w14:textId="4419DF6A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keine Ironie/Sarkasmus </w:t>
            </w:r>
          </w:p>
        </w:tc>
      </w:tr>
      <w:tr w:rsidR="00223FDF" w:rsidRPr="00223FDF" w14:paraId="68AB8D89" w14:textId="77777777" w:rsidTr="00CE3261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1977" w:type="dxa"/>
          </w:tcPr>
          <w:p w14:paraId="1D6D5F75" w14:textId="4FD94772" w:rsidR="00223FDF" w:rsidRPr="00223FDF" w:rsidRDefault="00223FDF" w:rsidP="00223FD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23FD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Akute Verwirrtheit/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23FD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Delir </w:t>
            </w:r>
          </w:p>
        </w:tc>
        <w:tc>
          <w:tcPr>
            <w:tcW w:w="3827" w:type="dxa"/>
          </w:tcPr>
          <w:p w14:paraId="2F87A57F" w14:textId="74CC90C9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Orientierungslosigkeit </w:t>
            </w:r>
          </w:p>
          <w:p w14:paraId="01E4D8F9" w14:textId="0C43A414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Unruhe </w:t>
            </w:r>
          </w:p>
          <w:p w14:paraId="43648825" w14:textId="2FD7EB73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Misstrauen </w:t>
            </w:r>
          </w:p>
          <w:p w14:paraId="485FD1B5" w14:textId="2F23E038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proofErr w:type="spellStart"/>
            <w:r w:rsidRPr="00223FDF">
              <w:rPr>
                <w:rFonts w:ascii="Arial" w:hAnsi="Arial" w:cs="Arial"/>
                <w:color w:val="000000" w:themeColor="text1"/>
                <w:sz w:val="24"/>
              </w:rPr>
              <w:t>Hinlauftendenz</w:t>
            </w:r>
            <w:proofErr w:type="spellEnd"/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5387" w:type="dxa"/>
          </w:tcPr>
          <w:p w14:paraId="6774DA66" w14:textId="006BAB25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Reizüberflutung vermeiden </w:t>
            </w:r>
          </w:p>
          <w:p w14:paraId="08EB7591" w14:textId="0E7EEA04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Orientierung geben </w:t>
            </w:r>
          </w:p>
          <w:p w14:paraId="4C09EE7A" w14:textId="15DF6DAA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keine Konfrontation </w:t>
            </w:r>
          </w:p>
          <w:p w14:paraId="2FD0647B" w14:textId="0A2020FD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ärztliche Abklärung </w:t>
            </w:r>
          </w:p>
        </w:tc>
      </w:tr>
      <w:tr w:rsidR="00223FDF" w:rsidRPr="00223FDF" w14:paraId="6C4D5A25" w14:textId="77777777" w:rsidTr="00CE3261">
        <w:tblPrEx>
          <w:tblCellMar>
            <w:top w:w="0" w:type="dxa"/>
            <w:bottom w:w="0" w:type="dxa"/>
          </w:tblCellMar>
        </w:tblPrEx>
        <w:trPr>
          <w:trHeight w:val="787"/>
          <w:jc w:val="center"/>
        </w:trPr>
        <w:tc>
          <w:tcPr>
            <w:tcW w:w="1977" w:type="dxa"/>
          </w:tcPr>
          <w:p w14:paraId="1861AC38" w14:textId="5D96B708" w:rsidR="00223FDF" w:rsidRPr="00223FDF" w:rsidRDefault="00223FDF" w:rsidP="00223FD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23FD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Entzugs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223FD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symptomatik </w:t>
            </w:r>
          </w:p>
        </w:tc>
        <w:tc>
          <w:tcPr>
            <w:tcW w:w="3827" w:type="dxa"/>
          </w:tcPr>
          <w:p w14:paraId="2AA351AA" w14:textId="46370724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Gereiztheit </w:t>
            </w:r>
          </w:p>
          <w:p w14:paraId="5680C04C" w14:textId="1E89C362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verwaschene Sprache </w:t>
            </w:r>
          </w:p>
          <w:p w14:paraId="245DFFC6" w14:textId="34EF13BC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Halluzinationen </w:t>
            </w:r>
          </w:p>
          <w:p w14:paraId="452A1271" w14:textId="4C555800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Tremor </w:t>
            </w:r>
          </w:p>
          <w:p w14:paraId="7A1245C6" w14:textId="70C2CE5E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Schwitzen </w:t>
            </w:r>
          </w:p>
          <w:p w14:paraId="2A0BBD22" w14:textId="0647B586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Verhaltensschwankungen </w:t>
            </w:r>
          </w:p>
          <w:p w14:paraId="4A0F0671" w14:textId="07A9C73C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>gegebenenfalls Krampfanfälle</w:t>
            </w:r>
          </w:p>
        </w:tc>
        <w:tc>
          <w:tcPr>
            <w:tcW w:w="5387" w:type="dxa"/>
          </w:tcPr>
          <w:p w14:paraId="158EB5A9" w14:textId="139AD829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Abstand wahren </w:t>
            </w:r>
          </w:p>
          <w:p w14:paraId="1EDBDCDA" w14:textId="19F56ADC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>Priorität: Eigenschutz, ärztliche Abklärung (bei schwe</w:t>
            </w:r>
            <w:r w:rsidRPr="00223FDF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ren Symptomen sofort Notarzt) </w:t>
            </w:r>
          </w:p>
          <w:p w14:paraId="73B46378" w14:textId="6BFE5195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keine Diskussionen, deeskalieren </w:t>
            </w:r>
          </w:p>
          <w:p w14:paraId="6A58EF59" w14:textId="2EC543F1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Vitalzeichen prüfen, sofern gefahrlos möglich </w:t>
            </w:r>
          </w:p>
          <w:p w14:paraId="527BA3F2" w14:textId="1541EE09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>Einsatz abbrechen, wenn Eigensicherheit nicht gewähr</w:t>
            </w:r>
            <w:r w:rsidRPr="00223FDF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leistet </w:t>
            </w:r>
            <w:proofErr w:type="gramStart"/>
            <w:r w:rsidRPr="00223FDF">
              <w:rPr>
                <w:rFonts w:ascii="Arial" w:hAnsi="Arial" w:cs="Arial"/>
                <w:color w:val="000000" w:themeColor="text1"/>
                <w:sz w:val="24"/>
              </w:rPr>
              <w:t>ist</w:t>
            </w:r>
            <w:proofErr w:type="gramEnd"/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</w:tc>
      </w:tr>
      <w:tr w:rsidR="00223FDF" w:rsidRPr="00223FDF" w14:paraId="54BEC10B" w14:textId="77777777" w:rsidTr="00CE3261">
        <w:tblPrEx>
          <w:tblCellMar>
            <w:top w:w="0" w:type="dxa"/>
            <w:bottom w:w="0" w:type="dxa"/>
          </w:tblCellMar>
        </w:tblPrEx>
        <w:trPr>
          <w:trHeight w:val="677"/>
          <w:jc w:val="center"/>
        </w:trPr>
        <w:tc>
          <w:tcPr>
            <w:tcW w:w="1977" w:type="dxa"/>
          </w:tcPr>
          <w:p w14:paraId="6E883879" w14:textId="77777777" w:rsidR="00223FDF" w:rsidRPr="00223FDF" w:rsidRDefault="00223FDF" w:rsidP="00223FD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23FD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Gegenstände als Waffen </w:t>
            </w:r>
          </w:p>
        </w:tc>
        <w:tc>
          <w:tcPr>
            <w:tcW w:w="3827" w:type="dxa"/>
          </w:tcPr>
          <w:p w14:paraId="3275F9C9" w14:textId="26445712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Messer </w:t>
            </w:r>
          </w:p>
          <w:p w14:paraId="72FC6D8E" w14:textId="22424167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Stöcke </w:t>
            </w:r>
          </w:p>
          <w:p w14:paraId="052C9333" w14:textId="32D3DE0C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Alltagsgegenstände, die zweckentfremdet als Waffen eingesetzt werden können (Gläser, Stühle, Gehstock etc.) </w:t>
            </w:r>
          </w:p>
        </w:tc>
        <w:tc>
          <w:tcPr>
            <w:tcW w:w="5387" w:type="dxa"/>
          </w:tcPr>
          <w:p w14:paraId="1C26F99D" w14:textId="5D6A2EC2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Abstand vergrößern </w:t>
            </w:r>
          </w:p>
          <w:p w14:paraId="1E42CE75" w14:textId="425C1BD4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nicht den Rücken zukehren </w:t>
            </w:r>
          </w:p>
          <w:p w14:paraId="03F730DB" w14:textId="58FD5D65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Tür im Blick behalten </w:t>
            </w:r>
          </w:p>
          <w:p w14:paraId="25AF64E7" w14:textId="6B08A70D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Eigensicherung hat Vorrang – bei Eskalation: Rückzug </w:t>
            </w:r>
          </w:p>
        </w:tc>
      </w:tr>
      <w:tr w:rsidR="00223FDF" w:rsidRPr="00223FDF" w14:paraId="5DB80D53" w14:textId="77777777" w:rsidTr="00CE3261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1977" w:type="dxa"/>
          </w:tcPr>
          <w:p w14:paraId="350095A5" w14:textId="77777777" w:rsidR="00223FDF" w:rsidRPr="00223FDF" w:rsidRDefault="00223FDF" w:rsidP="00223FD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23FD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Haustiere in der ambulanten Pflege </w:t>
            </w:r>
          </w:p>
        </w:tc>
        <w:tc>
          <w:tcPr>
            <w:tcW w:w="3827" w:type="dxa"/>
          </w:tcPr>
          <w:p w14:paraId="3E5BF965" w14:textId="56B88819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ungesicherte Tiere in der häuslichen Umgebung </w:t>
            </w:r>
          </w:p>
          <w:p w14:paraId="697B6863" w14:textId="77777777" w:rsidR="00223FDF" w:rsidRPr="00223FDF" w:rsidRDefault="00223FDF" w:rsidP="00223FDF">
            <w:pPr>
              <w:spacing w:before="120" w:after="120"/>
              <w:ind w:left="13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5387" w:type="dxa"/>
          </w:tcPr>
          <w:p w14:paraId="197BA1FF" w14:textId="61BCCCE0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Eintritt nur nach Sicherung durch Angehörige </w:t>
            </w:r>
          </w:p>
          <w:p w14:paraId="752313B5" w14:textId="5E6125A1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ansonsten Einsatz verschieben und dokumentieren </w:t>
            </w:r>
          </w:p>
        </w:tc>
      </w:tr>
      <w:tr w:rsidR="00223FDF" w:rsidRPr="00223FDF" w14:paraId="5A5C9BB1" w14:textId="77777777" w:rsidTr="00CE3261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977" w:type="dxa"/>
          </w:tcPr>
          <w:p w14:paraId="78E40BAE" w14:textId="77777777" w:rsidR="00223FDF" w:rsidRPr="00223FDF" w:rsidRDefault="00223FDF" w:rsidP="00223FD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23FD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Mangelnde Information über neue Pflegekunden </w:t>
            </w:r>
          </w:p>
        </w:tc>
        <w:tc>
          <w:tcPr>
            <w:tcW w:w="3827" w:type="dxa"/>
          </w:tcPr>
          <w:p w14:paraId="3188359D" w14:textId="77777777" w:rsid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fehlende Kenntnisse über Vorgeschichte oder frühere Übergriffe </w:t>
            </w:r>
          </w:p>
          <w:p w14:paraId="32EBD1D3" w14:textId="546D5508" w:rsidR="00223FDF" w:rsidRPr="00223FDF" w:rsidRDefault="00223FDF" w:rsidP="00223FDF">
            <w:pPr>
              <w:spacing w:before="120" w:after="120"/>
              <w:ind w:left="13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5387" w:type="dxa"/>
          </w:tcPr>
          <w:p w14:paraId="163833B5" w14:textId="0ACC8B1B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Risikoanamnese bei Neuaufnahmen </w:t>
            </w:r>
          </w:p>
          <w:p w14:paraId="052473B6" w14:textId="7486C841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 xml:space="preserve">Informationen im Team weitergeben </w:t>
            </w:r>
          </w:p>
          <w:p w14:paraId="24869707" w14:textId="57FDF416" w:rsidR="00223FDF" w:rsidRPr="00223FDF" w:rsidRDefault="00223FDF" w:rsidP="00223FDF">
            <w:pPr>
              <w:pStyle w:val="Listenabsatz"/>
              <w:numPr>
                <w:ilvl w:val="0"/>
                <w:numId w:val="24"/>
              </w:numPr>
              <w:spacing w:before="120" w:after="120"/>
              <w:ind w:left="297" w:hanging="284"/>
              <w:rPr>
                <w:rFonts w:ascii="Arial" w:hAnsi="Arial" w:cs="Arial"/>
                <w:color w:val="000000" w:themeColor="text1"/>
                <w:sz w:val="24"/>
              </w:rPr>
            </w:pPr>
            <w:r w:rsidRPr="00223FDF">
              <w:rPr>
                <w:rFonts w:ascii="Arial" w:hAnsi="Arial" w:cs="Arial"/>
                <w:color w:val="000000" w:themeColor="text1"/>
                <w:sz w:val="24"/>
              </w:rPr>
              <w:t>Pflegeplanung umgehend aktualisieren</w:t>
            </w:r>
          </w:p>
        </w:tc>
      </w:tr>
    </w:tbl>
    <w:p w14:paraId="06439D98" w14:textId="77777777" w:rsidR="00223FDF" w:rsidRPr="001D6D73" w:rsidRDefault="00223FDF" w:rsidP="001D6D7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223FDF" w:rsidRPr="001D6D73" w:rsidSect="00406F2A">
      <w:headerReference w:type="default" r:id="rId9"/>
      <w:pgSz w:w="11906" w:h="16838" w:code="9"/>
      <w:pgMar w:top="-113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1821BF3C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1D6D73">
            <w:rPr>
              <w:b/>
              <w:color w:val="FFFFFF"/>
              <w:sz w:val="24"/>
            </w:rPr>
            <w:t>22</w:t>
          </w:r>
          <w:r w:rsidR="00826760">
            <w:rPr>
              <w:b/>
              <w:color w:val="FFFFFF"/>
              <w:sz w:val="24"/>
            </w:rPr>
            <w:t xml:space="preserve"> </w:t>
          </w:r>
          <w:r w:rsidR="001D6D73">
            <w:rPr>
              <w:b/>
              <w:color w:val="FFFFFF"/>
              <w:sz w:val="24"/>
            </w:rPr>
            <w:t>–</w:t>
          </w:r>
          <w:r w:rsidR="00826760">
            <w:rPr>
              <w:b/>
              <w:color w:val="FFFFFF"/>
              <w:sz w:val="24"/>
            </w:rPr>
            <w:t xml:space="preserve">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  <w:r w:rsidR="001D6D73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F1DE5"/>
    <w:multiLevelType w:val="hybridMultilevel"/>
    <w:tmpl w:val="087CDA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E61E5"/>
    <w:multiLevelType w:val="hybridMultilevel"/>
    <w:tmpl w:val="A3429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3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2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074086327">
    <w:abstractNumId w:val="21"/>
  </w:num>
  <w:num w:numId="24" w16cid:durableId="16282696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1D6D73"/>
    <w:rsid w:val="001D71D3"/>
    <w:rsid w:val="00205D0C"/>
    <w:rsid w:val="00223FDF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06F2A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6603B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CE3261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2025-10-21T09:28:00Z</dcterms:created>
  <dcterms:modified xsi:type="dcterms:W3CDTF">2025-10-21T09:28:00Z</dcterms:modified>
</cp:coreProperties>
</file>