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35A0" w14:textId="2B203E5C" w:rsidR="00581B4B" w:rsidRPr="009E086C" w:rsidRDefault="007A7CA7" w:rsidP="009E086C">
      <w:pPr>
        <w:tabs>
          <w:tab w:val="left" w:pos="5280"/>
        </w:tabs>
        <w:rPr>
          <w:b/>
          <w:noProof/>
          <w:lang w:eastAsia="de-DE"/>
        </w:rPr>
      </w:pPr>
      <w:r>
        <w:rPr>
          <w:b/>
          <w:noProof/>
          <w:lang w:eastAsia="de-DE"/>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1"/>
      </w:tblGrid>
      <w:tr w:rsidR="00CD4F0B" w14:paraId="7409F6DA" w14:textId="77777777" w:rsidTr="009E086C">
        <w:trPr>
          <w:cantSplit/>
          <w:trHeight w:val="278"/>
          <w:jc w:val="center"/>
        </w:trPr>
        <w:tc>
          <w:tcPr>
            <w:tcW w:w="9351" w:type="dxa"/>
            <w:tcBorders>
              <w:top w:val="single" w:sz="4" w:space="0" w:color="auto"/>
              <w:left w:val="single" w:sz="4" w:space="0" w:color="auto"/>
              <w:bottom w:val="single" w:sz="4" w:space="0" w:color="auto"/>
              <w:right w:val="single" w:sz="4" w:space="0" w:color="auto"/>
            </w:tcBorders>
            <w:shd w:val="clear" w:color="auto" w:fill="0099CC"/>
            <w:hideMark/>
          </w:tcPr>
          <w:p w14:paraId="21632833" w14:textId="376F5E7D" w:rsidR="00CD4F0B" w:rsidRPr="002F7B4F" w:rsidRDefault="009E086C" w:rsidP="0043383D">
            <w:pPr>
              <w:spacing w:before="120" w:after="120"/>
              <w:rPr>
                <w:rFonts w:ascii="Arial" w:hAnsi="Arial" w:cs="Arial"/>
                <w:b/>
                <w:color w:val="FFFFFF"/>
                <w:sz w:val="28"/>
                <w:szCs w:val="28"/>
              </w:rPr>
            </w:pPr>
            <w:r w:rsidRPr="009E086C">
              <w:rPr>
                <w:rFonts w:ascii="Arial" w:hAnsi="Arial" w:cs="Arial"/>
                <w:b/>
                <w:color w:val="FFFFFF"/>
                <w:sz w:val="28"/>
                <w:szCs w:val="28"/>
              </w:rPr>
              <w:t xml:space="preserve">Muster: Informationsbogen </w:t>
            </w:r>
            <w:r>
              <w:rPr>
                <w:rFonts w:ascii="Arial" w:hAnsi="Arial" w:cs="Arial"/>
                <w:b/>
                <w:color w:val="FFFFFF"/>
                <w:sz w:val="28"/>
                <w:szCs w:val="28"/>
              </w:rPr>
              <w:t>z</w:t>
            </w:r>
            <w:r w:rsidRPr="009E086C">
              <w:rPr>
                <w:rFonts w:ascii="Arial" w:hAnsi="Arial" w:cs="Arial"/>
                <w:b/>
                <w:color w:val="FFFFFF"/>
                <w:sz w:val="28"/>
                <w:szCs w:val="28"/>
              </w:rPr>
              <w:t xml:space="preserve">ur Dienstfahrzeugnutzung </w:t>
            </w:r>
          </w:p>
        </w:tc>
      </w:tr>
      <w:tr w:rsidR="009E086C" w14:paraId="104B7B5C" w14:textId="77777777" w:rsidTr="009E086C">
        <w:trPr>
          <w:jc w:val="center"/>
        </w:trPr>
        <w:tc>
          <w:tcPr>
            <w:tcW w:w="9351" w:type="dxa"/>
            <w:tcBorders>
              <w:top w:val="single" w:sz="4" w:space="0" w:color="auto"/>
              <w:left w:val="single" w:sz="4" w:space="0" w:color="auto"/>
              <w:bottom w:val="single" w:sz="4" w:space="0" w:color="auto"/>
              <w:right w:val="single" w:sz="4" w:space="0" w:color="auto"/>
            </w:tcBorders>
            <w:hideMark/>
          </w:tcPr>
          <w:p w14:paraId="5CA3CDCA"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Cs/>
                <w:color w:val="000000" w:themeColor="text1"/>
                <w:sz w:val="24"/>
                <w:szCs w:val="24"/>
              </w:rPr>
              <w:t xml:space="preserve">Liebe Mitarbeiter, </w:t>
            </w:r>
          </w:p>
          <w:p w14:paraId="131A94B4"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Cs/>
                <w:color w:val="000000" w:themeColor="text1"/>
                <w:sz w:val="24"/>
                <w:szCs w:val="24"/>
              </w:rPr>
              <w:t>Sie sind während Ihrer Arbeitszeit mit dem Dienstwagen unterwegs. Da uns Ihre Sicherheit am Herzen liegt, haben wir Sie in die Funktionen unserer Fahrzeuge eingewiesen. Sie wissen, wo sich die Schalter für Licht, Blinker, Fernlicht, Klimaanlage, Heizung, Lüftung und Warnlicht befinden, wie Sie den Gurt auf Ihre Körpergröße einstellen und die Freisprechanlage bedie</w:t>
            </w:r>
            <w:r w:rsidRPr="009E086C">
              <w:rPr>
                <w:rFonts w:ascii="Arial" w:hAnsi="Arial" w:cs="Arial"/>
                <w:bCs/>
                <w:color w:val="000000" w:themeColor="text1"/>
                <w:sz w:val="24"/>
                <w:szCs w:val="24"/>
              </w:rPr>
              <w:softHyphen/>
              <w:t xml:space="preserve">nen. Für weitere Fragen finden Sie die Betriebsanweisung des jeweiligen Fahrzeugs im Handschuhfach. </w:t>
            </w:r>
          </w:p>
          <w:p w14:paraId="7DC77A74"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Cs/>
                <w:color w:val="000000" w:themeColor="text1"/>
                <w:sz w:val="24"/>
                <w:szCs w:val="24"/>
              </w:rPr>
              <w:t xml:space="preserve">Darüber hinaus sind wir gesetzlich verpflichtet, Sie einmal im Jahr über den sicheren Umgang mit den Dienstfahrzeugen zu unterweisen. Bitte beachten Sie dabei folgende Punkte: </w:t>
            </w:r>
          </w:p>
          <w:p w14:paraId="68B1B5C4"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
                <w:color w:val="000000" w:themeColor="text1"/>
                <w:sz w:val="24"/>
                <w:szCs w:val="24"/>
              </w:rPr>
              <w:t>Betätigungs- und Sicherheitseinrichtungen prüfen:</w:t>
            </w:r>
            <w:r w:rsidRPr="009E086C">
              <w:rPr>
                <w:rFonts w:ascii="Arial" w:hAnsi="Arial" w:cs="Arial"/>
                <w:bCs/>
                <w:color w:val="000000" w:themeColor="text1"/>
                <w:sz w:val="24"/>
                <w:szCs w:val="24"/>
              </w:rPr>
              <w:t xml:space="preserve"> Nach § 36 DGUV V70 sind Fahrzeugführer verpflichtet, vor jeder Fahrt sicherheitsrelevante Einrichtungen (Bremsen, Beleuchtung, Blinker, Lenkrad, Spiegel etc.) zu prüfen und Mängel sofort zu melden. Bei Mängeln dürfen Sie das Fahrzeug nicht nutzen. Informieren Sie sofort den Beauftragten für Dienstfahrzeuge, die Pflegedienstleitung oder den Inhaber. </w:t>
            </w:r>
          </w:p>
          <w:p w14:paraId="04970356"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
                <w:color w:val="000000" w:themeColor="text1"/>
                <w:sz w:val="24"/>
                <w:szCs w:val="24"/>
              </w:rPr>
              <w:t>Mängel während der Tour:</w:t>
            </w:r>
            <w:r w:rsidRPr="009E086C">
              <w:rPr>
                <w:rFonts w:ascii="Arial" w:hAnsi="Arial" w:cs="Arial"/>
                <w:bCs/>
                <w:color w:val="000000" w:themeColor="text1"/>
                <w:sz w:val="24"/>
                <w:szCs w:val="24"/>
              </w:rPr>
              <w:t xml:space="preserve"> Stellen Sie während der Fahrt Mängel fest, melden Sie diese nach der Tour umgehend. Bei gravierenden Defekten (z. B. Bremsenausfall) dürfen Sie das Fahrzeug nicht weiter nutzen. Klären Sie telefonisch mit der verantwortlichen Person, wie es weitergeht. </w:t>
            </w:r>
          </w:p>
          <w:p w14:paraId="3067B9A2"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
                <w:color w:val="000000" w:themeColor="text1"/>
                <w:sz w:val="24"/>
                <w:szCs w:val="24"/>
              </w:rPr>
              <w:t>Nach der Fahrt:</w:t>
            </w:r>
            <w:r w:rsidRPr="009E086C">
              <w:rPr>
                <w:rFonts w:ascii="Arial" w:hAnsi="Arial" w:cs="Arial"/>
                <w:bCs/>
                <w:color w:val="000000" w:themeColor="text1"/>
                <w:sz w:val="24"/>
                <w:szCs w:val="24"/>
              </w:rPr>
              <w:t xml:space="preserve"> Sichern Sie das Fahrzeug: Handbremse anziehen, kleinsten Gang einlegen oder Parksperre aktivieren. </w:t>
            </w:r>
          </w:p>
          <w:p w14:paraId="164948F5"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
                <w:color w:val="000000" w:themeColor="text1"/>
                <w:sz w:val="24"/>
                <w:szCs w:val="24"/>
              </w:rPr>
              <w:t>Schuhwerk:</w:t>
            </w:r>
            <w:r w:rsidRPr="009E086C">
              <w:rPr>
                <w:rFonts w:ascii="Arial" w:hAnsi="Arial" w:cs="Arial"/>
                <w:bCs/>
                <w:color w:val="000000" w:themeColor="text1"/>
                <w:sz w:val="24"/>
                <w:szCs w:val="24"/>
              </w:rPr>
              <w:t xml:space="preserve"> Tragen Sie immer festes, den Fuß umschließendes Schuhwerk. Flipflops oder Sandaletten ohne Riemen sind verboten. </w:t>
            </w:r>
          </w:p>
          <w:p w14:paraId="14808EF6"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
                <w:color w:val="000000" w:themeColor="text1"/>
                <w:sz w:val="24"/>
                <w:szCs w:val="24"/>
              </w:rPr>
              <w:t>Warnweste:</w:t>
            </w:r>
            <w:r w:rsidRPr="009E086C">
              <w:rPr>
                <w:rFonts w:ascii="Arial" w:hAnsi="Arial" w:cs="Arial"/>
                <w:bCs/>
                <w:color w:val="000000" w:themeColor="text1"/>
                <w:sz w:val="24"/>
                <w:szCs w:val="24"/>
              </w:rPr>
              <w:t xml:space="preserve"> Bei Pannen oder Unfällen, bei Dunkelheit oder schlechter Sicht müssen Sie eine Warnweste tragen. In jedem Fahrzeug liegen mindestens 2 Westen, immer in der Tasche hinter dem Fahrersitz. </w:t>
            </w:r>
          </w:p>
          <w:p w14:paraId="22F93070"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
                <w:color w:val="000000" w:themeColor="text1"/>
                <w:sz w:val="24"/>
                <w:szCs w:val="24"/>
              </w:rPr>
              <w:t>Pannen und Unfälle:</w:t>
            </w:r>
            <w:r w:rsidRPr="009E086C">
              <w:rPr>
                <w:rFonts w:ascii="Arial" w:hAnsi="Arial" w:cs="Arial"/>
                <w:bCs/>
                <w:color w:val="000000" w:themeColor="text1"/>
                <w:sz w:val="24"/>
                <w:szCs w:val="24"/>
              </w:rPr>
              <w:t xml:space="preserve"> Warndreieck, Verbandkasten, Ersatzrad, Wagenheber und Rettungsdecke finden Sie im Kofferraum. Unfallmappe und Erste-Hilfe-Hinweise liegen im Handschuhfach. </w:t>
            </w:r>
          </w:p>
          <w:p w14:paraId="4CC3ED96"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
                <w:color w:val="000000" w:themeColor="text1"/>
                <w:sz w:val="24"/>
                <w:szCs w:val="24"/>
              </w:rPr>
              <w:t>Fahrerlaubnis:</w:t>
            </w:r>
            <w:r w:rsidRPr="009E086C">
              <w:rPr>
                <w:rFonts w:ascii="Arial" w:hAnsi="Arial" w:cs="Arial"/>
                <w:bCs/>
                <w:color w:val="000000" w:themeColor="text1"/>
                <w:sz w:val="24"/>
                <w:szCs w:val="24"/>
              </w:rPr>
              <w:t xml:space="preserve"> Sie dürfen nur mit gültigem Führerschein fahren. Wir kontrollieren diesen mindestens zweimal pro Jahr. Sollte er Ihnen entzogen werden, müssen Sie uns sofort informieren. </w:t>
            </w:r>
          </w:p>
          <w:p w14:paraId="137E767A"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
                <w:color w:val="000000" w:themeColor="text1"/>
                <w:sz w:val="24"/>
                <w:szCs w:val="24"/>
              </w:rPr>
              <w:t>Betriebssicherheit:</w:t>
            </w:r>
            <w:r w:rsidRPr="009E086C">
              <w:rPr>
                <w:rFonts w:ascii="Arial" w:hAnsi="Arial" w:cs="Arial"/>
                <w:bCs/>
                <w:color w:val="000000" w:themeColor="text1"/>
                <w:sz w:val="24"/>
                <w:szCs w:val="24"/>
              </w:rPr>
              <w:t xml:space="preserve"> Unsere Fahrzeuge werden regelmäßig gewartet und mindestens einmal jährlich von Fachleuten geprüft. Melden Sie dennoch festgestellte Mängel sofort. </w:t>
            </w:r>
          </w:p>
          <w:p w14:paraId="7593D7C5" w14:textId="77777777" w:rsidR="009E086C" w:rsidRPr="009E086C" w:rsidRDefault="009E086C" w:rsidP="009E086C">
            <w:pPr>
              <w:spacing w:before="120" w:after="120"/>
              <w:rPr>
                <w:rFonts w:ascii="Arial" w:hAnsi="Arial" w:cs="Arial"/>
                <w:b/>
                <w:color w:val="000000" w:themeColor="text1"/>
                <w:sz w:val="24"/>
                <w:szCs w:val="24"/>
              </w:rPr>
            </w:pPr>
            <w:r w:rsidRPr="009E086C">
              <w:rPr>
                <w:rFonts w:ascii="Arial" w:hAnsi="Arial" w:cs="Arial"/>
                <w:b/>
                <w:color w:val="000000" w:themeColor="text1"/>
                <w:sz w:val="24"/>
                <w:szCs w:val="24"/>
              </w:rPr>
              <w:lastRenderedPageBreak/>
              <w:t xml:space="preserve">Straßenverkehrsordnung </w:t>
            </w:r>
          </w:p>
          <w:p w14:paraId="43C99C46" w14:textId="77777777" w:rsidR="009E086C" w:rsidRPr="009E086C" w:rsidRDefault="009E086C" w:rsidP="009E086C">
            <w:pPr>
              <w:pStyle w:val="Listenabsatz"/>
              <w:numPr>
                <w:ilvl w:val="0"/>
                <w:numId w:val="33"/>
              </w:numPr>
              <w:spacing w:before="120" w:after="120"/>
              <w:rPr>
                <w:rFonts w:ascii="Arial" w:hAnsi="Arial" w:cs="Arial"/>
                <w:color w:val="000000" w:themeColor="text1"/>
                <w:sz w:val="24"/>
              </w:rPr>
            </w:pPr>
            <w:r w:rsidRPr="009E086C">
              <w:rPr>
                <w:rFonts w:ascii="Arial" w:hAnsi="Arial" w:cs="Arial"/>
                <w:color w:val="000000" w:themeColor="text1"/>
                <w:sz w:val="24"/>
              </w:rPr>
              <w:t xml:space="preserve">Handy nur mit Freisprechanlage nutzen </w:t>
            </w:r>
          </w:p>
          <w:p w14:paraId="287CFF13" w14:textId="77777777" w:rsidR="009E086C" w:rsidRPr="009E086C" w:rsidRDefault="009E086C" w:rsidP="009E086C">
            <w:pPr>
              <w:pStyle w:val="Listenabsatz"/>
              <w:numPr>
                <w:ilvl w:val="0"/>
                <w:numId w:val="33"/>
              </w:numPr>
              <w:spacing w:before="120" w:after="120"/>
              <w:rPr>
                <w:rFonts w:ascii="Arial" w:hAnsi="Arial" w:cs="Arial"/>
                <w:color w:val="000000" w:themeColor="text1"/>
                <w:sz w:val="24"/>
              </w:rPr>
            </w:pPr>
            <w:r w:rsidRPr="009E086C">
              <w:rPr>
                <w:rFonts w:ascii="Arial" w:hAnsi="Arial" w:cs="Arial"/>
                <w:color w:val="000000" w:themeColor="text1"/>
                <w:sz w:val="24"/>
              </w:rPr>
              <w:t xml:space="preserve">Nur auf gekennzeichneten Parkplätzen parken </w:t>
            </w:r>
          </w:p>
          <w:p w14:paraId="5E5246FB" w14:textId="77777777" w:rsidR="009E086C" w:rsidRPr="009E086C" w:rsidRDefault="009E086C" w:rsidP="009E086C">
            <w:pPr>
              <w:pStyle w:val="Listenabsatz"/>
              <w:numPr>
                <w:ilvl w:val="0"/>
                <w:numId w:val="33"/>
              </w:numPr>
              <w:spacing w:before="120" w:after="120"/>
              <w:rPr>
                <w:rFonts w:ascii="Arial" w:hAnsi="Arial" w:cs="Arial"/>
                <w:color w:val="000000" w:themeColor="text1"/>
                <w:sz w:val="24"/>
              </w:rPr>
            </w:pPr>
            <w:r w:rsidRPr="009E086C">
              <w:rPr>
                <w:rFonts w:ascii="Arial" w:hAnsi="Arial" w:cs="Arial"/>
                <w:color w:val="000000" w:themeColor="text1"/>
                <w:sz w:val="24"/>
              </w:rPr>
              <w:t xml:space="preserve">Geschwindigkeitsbegrenzungen einhalten </w:t>
            </w:r>
          </w:p>
          <w:p w14:paraId="1579E52D" w14:textId="77777777" w:rsidR="009E086C" w:rsidRPr="009E086C" w:rsidRDefault="009E086C" w:rsidP="009E086C">
            <w:pPr>
              <w:pStyle w:val="Listenabsatz"/>
              <w:numPr>
                <w:ilvl w:val="0"/>
                <w:numId w:val="33"/>
              </w:numPr>
              <w:spacing w:before="120" w:after="120"/>
              <w:rPr>
                <w:rFonts w:ascii="Arial" w:hAnsi="Arial" w:cs="Arial"/>
                <w:color w:val="000000" w:themeColor="text1"/>
                <w:sz w:val="24"/>
              </w:rPr>
            </w:pPr>
            <w:r w:rsidRPr="009E086C">
              <w:rPr>
                <w:rFonts w:ascii="Arial" w:hAnsi="Arial" w:cs="Arial"/>
                <w:color w:val="000000" w:themeColor="text1"/>
                <w:sz w:val="24"/>
              </w:rPr>
              <w:t xml:space="preserve">Sicherheitsgurt anlegen </w:t>
            </w:r>
          </w:p>
          <w:p w14:paraId="0AA5A05F" w14:textId="5A23C797" w:rsidR="009E086C" w:rsidRPr="009E086C" w:rsidRDefault="009E086C" w:rsidP="009E086C">
            <w:pPr>
              <w:pStyle w:val="Listenabsatz"/>
              <w:numPr>
                <w:ilvl w:val="0"/>
                <w:numId w:val="33"/>
              </w:numPr>
              <w:spacing w:before="120" w:after="120"/>
              <w:rPr>
                <w:rFonts w:ascii="Arial" w:hAnsi="Arial" w:cs="Arial"/>
                <w:color w:val="000000" w:themeColor="text1"/>
                <w:sz w:val="24"/>
              </w:rPr>
            </w:pPr>
            <w:r w:rsidRPr="009E086C">
              <w:rPr>
                <w:rFonts w:ascii="Arial" w:hAnsi="Arial" w:cs="Arial"/>
                <w:color w:val="000000" w:themeColor="text1"/>
                <w:sz w:val="24"/>
              </w:rPr>
              <w:t xml:space="preserve">kein Alkohol oder Drogen vor oder während der Arbeitszeit und damit auch nicht während der Dienstfahrten </w:t>
            </w:r>
          </w:p>
          <w:p w14:paraId="0F060521"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
                <w:color w:val="000000" w:themeColor="text1"/>
                <w:sz w:val="24"/>
                <w:szCs w:val="24"/>
              </w:rPr>
              <w:t>Stress vermeiden:</w:t>
            </w:r>
            <w:r w:rsidRPr="009E086C">
              <w:rPr>
                <w:rFonts w:ascii="Arial" w:hAnsi="Arial" w:cs="Arial"/>
                <w:bCs/>
                <w:color w:val="000000" w:themeColor="text1"/>
                <w:sz w:val="24"/>
                <w:szCs w:val="24"/>
              </w:rPr>
              <w:t xml:space="preserve"> Zeitdruck führt oft zu riskantem Fahrverhalten. Melden Sie unrealistische Tourenpläne sofort der Ver</w:t>
            </w:r>
            <w:r w:rsidRPr="009E086C">
              <w:rPr>
                <w:rFonts w:ascii="Arial" w:hAnsi="Arial" w:cs="Arial"/>
                <w:bCs/>
                <w:color w:val="000000" w:themeColor="text1"/>
                <w:sz w:val="24"/>
                <w:szCs w:val="24"/>
              </w:rPr>
              <w:softHyphen/>
              <w:t xml:space="preserve">antwortlichen Pflegefachkraft. </w:t>
            </w:r>
          </w:p>
          <w:p w14:paraId="74FF6FB5"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
                <w:color w:val="000000" w:themeColor="text1"/>
                <w:sz w:val="24"/>
                <w:szCs w:val="24"/>
              </w:rPr>
              <w:t>Fahrzeugpapiere:</w:t>
            </w:r>
            <w:r w:rsidRPr="009E086C">
              <w:rPr>
                <w:rFonts w:ascii="Arial" w:hAnsi="Arial" w:cs="Arial"/>
                <w:bCs/>
                <w:color w:val="000000" w:themeColor="text1"/>
                <w:sz w:val="24"/>
                <w:szCs w:val="24"/>
              </w:rPr>
              <w:t xml:space="preserve"> Der Kfz-Schein befindet sich hinter der Sonnenblende, die Parkscheibe im Handschuhfach. Ihren Führer</w:t>
            </w:r>
            <w:r w:rsidRPr="009E086C">
              <w:rPr>
                <w:rFonts w:ascii="Arial" w:hAnsi="Arial" w:cs="Arial"/>
                <w:bCs/>
                <w:color w:val="000000" w:themeColor="text1"/>
                <w:sz w:val="24"/>
                <w:szCs w:val="24"/>
              </w:rPr>
              <w:softHyphen/>
              <w:t xml:space="preserve">schein müssen Sie stets mitführen. </w:t>
            </w:r>
          </w:p>
          <w:p w14:paraId="066D7492"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
                <w:color w:val="000000" w:themeColor="text1"/>
                <w:sz w:val="24"/>
                <w:szCs w:val="24"/>
              </w:rPr>
              <w:t>Fahrsicherheitstraining:</w:t>
            </w:r>
            <w:r w:rsidRPr="009E086C">
              <w:rPr>
                <w:rFonts w:ascii="Arial" w:hAnsi="Arial" w:cs="Arial"/>
                <w:bCs/>
                <w:color w:val="000000" w:themeColor="text1"/>
                <w:sz w:val="24"/>
                <w:szCs w:val="24"/>
              </w:rPr>
              <w:t xml:space="preserve"> Einmal jährlich bieten wir Fahrsicherheitstrainings an. Diese Termine gelten als Arbeitszeit. </w:t>
            </w:r>
          </w:p>
          <w:p w14:paraId="301DC002"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
                <w:color w:val="000000" w:themeColor="text1"/>
                <w:sz w:val="24"/>
                <w:szCs w:val="24"/>
              </w:rPr>
              <w:t>Mitnahme von Personen:</w:t>
            </w:r>
            <w:r w:rsidRPr="009E086C">
              <w:rPr>
                <w:rFonts w:ascii="Arial" w:hAnsi="Arial" w:cs="Arial"/>
                <w:bCs/>
                <w:color w:val="000000" w:themeColor="text1"/>
                <w:sz w:val="24"/>
                <w:szCs w:val="24"/>
              </w:rPr>
              <w:t xml:space="preserve"> Pflegekunden und deren Angehörige dürfen grundsätzlich nicht mitgenommen werden. Andere Personen nur, wenn das Fahrzeug privat genutzt wird oder die Pflegedienstleitung dies ausdrücklich erlaubt. </w:t>
            </w:r>
          </w:p>
          <w:p w14:paraId="005BE4B2"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
                <w:color w:val="000000" w:themeColor="text1"/>
                <w:sz w:val="24"/>
                <w:szCs w:val="24"/>
              </w:rPr>
              <w:t>Lernen aus Unfällen:</w:t>
            </w:r>
            <w:r w:rsidRPr="009E086C">
              <w:rPr>
                <w:rFonts w:ascii="Arial" w:hAnsi="Arial" w:cs="Arial"/>
                <w:bCs/>
                <w:color w:val="000000" w:themeColor="text1"/>
                <w:sz w:val="24"/>
                <w:szCs w:val="24"/>
              </w:rPr>
              <w:t xml:space="preserve"> Wir prüfen regelmäßig die Ursachen von Unfällen mit Dienstfahrzeugen. Gemeinsam überlegen wir, welche Maßnahmen künftig helfen, solche Vorfälle zu vermeiden, und passen unsere Regeln bei Bedarf an. </w:t>
            </w:r>
          </w:p>
          <w:p w14:paraId="60613D94"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Cs/>
                <w:color w:val="000000" w:themeColor="text1"/>
                <w:sz w:val="24"/>
                <w:szCs w:val="24"/>
              </w:rPr>
              <w:t xml:space="preserve">Auf eine stets sichere Fahrt </w:t>
            </w:r>
          </w:p>
          <w:p w14:paraId="0D844A76" w14:textId="77777777" w:rsidR="009E086C" w:rsidRPr="009E086C" w:rsidRDefault="009E086C" w:rsidP="009E086C">
            <w:pPr>
              <w:spacing w:before="120" w:after="120"/>
              <w:rPr>
                <w:rFonts w:ascii="Arial" w:hAnsi="Arial" w:cs="Arial"/>
                <w:bCs/>
                <w:color w:val="000000" w:themeColor="text1"/>
                <w:sz w:val="24"/>
                <w:szCs w:val="24"/>
              </w:rPr>
            </w:pPr>
            <w:r w:rsidRPr="009E086C">
              <w:rPr>
                <w:rFonts w:ascii="Arial" w:hAnsi="Arial" w:cs="Arial"/>
                <w:bCs/>
                <w:color w:val="000000" w:themeColor="text1"/>
                <w:sz w:val="24"/>
                <w:szCs w:val="24"/>
              </w:rPr>
              <w:t>Ihre</w:t>
            </w:r>
          </w:p>
          <w:p w14:paraId="5FB3D050" w14:textId="4BCB9870" w:rsidR="009E086C" w:rsidRPr="00BC398F" w:rsidRDefault="009E086C" w:rsidP="009E086C">
            <w:pPr>
              <w:spacing w:before="120" w:after="120"/>
              <w:rPr>
                <w:rFonts w:ascii="Arial" w:hAnsi="Arial" w:cs="Arial"/>
                <w:bCs/>
                <w:color w:val="000000" w:themeColor="text1"/>
                <w:sz w:val="28"/>
                <w:szCs w:val="28"/>
              </w:rPr>
            </w:pPr>
          </w:p>
        </w:tc>
      </w:tr>
    </w:tbl>
    <w:p w14:paraId="49BE5B85" w14:textId="77777777" w:rsidR="009F64ED" w:rsidRDefault="009F64ED" w:rsidP="00581B4B"/>
    <w:p w14:paraId="1DEC45E1" w14:textId="77777777" w:rsidR="009E086C" w:rsidRDefault="009E086C" w:rsidP="00581B4B"/>
    <w:p w14:paraId="485B0F3D" w14:textId="77777777" w:rsidR="009E086C" w:rsidRDefault="009E086C" w:rsidP="00581B4B"/>
    <w:sectPr w:rsidR="009E086C" w:rsidSect="009E086C">
      <w:headerReference w:type="default" r:id="rId7"/>
      <w:pgSz w:w="11906" w:h="16838" w:code="9"/>
      <w:pgMar w:top="-1276"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5F6F" w14:textId="77777777" w:rsidR="009078E5" w:rsidRDefault="009078E5" w:rsidP="002A5D13">
      <w:pPr>
        <w:spacing w:after="0" w:line="240" w:lineRule="auto"/>
      </w:pPr>
      <w:r>
        <w:separator/>
      </w:r>
    </w:p>
  </w:endnote>
  <w:endnote w:type="continuationSeparator" w:id="0">
    <w:p w14:paraId="636BA749" w14:textId="77777777" w:rsidR="009078E5" w:rsidRDefault="009078E5"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D49B" w14:textId="77777777" w:rsidR="009078E5" w:rsidRDefault="009078E5" w:rsidP="002A5D13">
      <w:pPr>
        <w:spacing w:after="0" w:line="240" w:lineRule="auto"/>
      </w:pPr>
      <w:r>
        <w:separator/>
      </w:r>
    </w:p>
  </w:footnote>
  <w:footnote w:type="continuationSeparator" w:id="0">
    <w:p w14:paraId="1C2D1304" w14:textId="77777777" w:rsidR="009078E5" w:rsidRDefault="009078E5"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255E23EE" w:rsidR="007A7CA7" w:rsidRPr="00E74AD6" w:rsidRDefault="00D97E25" w:rsidP="00D97E25">
          <w:pPr>
            <w:pStyle w:val="Kopfzeile"/>
            <w:jc w:val="center"/>
            <w:rPr>
              <w:b/>
              <w:color w:val="DAEEF3"/>
            </w:rPr>
          </w:pPr>
          <w:r>
            <w:rPr>
              <w:b/>
              <w:color w:val="DAEEF3"/>
              <w:sz w:val="24"/>
            </w:rPr>
            <w:t xml:space="preserve">Ausgabe </w:t>
          </w:r>
          <w:r w:rsidR="009E086C">
            <w:rPr>
              <w:b/>
              <w:color w:val="DAEEF3"/>
              <w:sz w:val="24"/>
            </w:rPr>
            <w:t>2</w:t>
          </w:r>
          <w:r w:rsidR="00B67280">
            <w:rPr>
              <w:b/>
              <w:color w:val="DAEEF3"/>
              <w:sz w:val="24"/>
            </w:rPr>
            <w:t>2</w:t>
          </w:r>
          <w:r w:rsidR="00A42A0D">
            <w:rPr>
              <w:b/>
              <w:color w:val="DAEEF3"/>
              <w:sz w:val="24"/>
            </w:rPr>
            <w:t xml:space="preserve"> - 20</w:t>
          </w:r>
          <w:r w:rsidR="009000A8">
            <w:rPr>
              <w:b/>
              <w:color w:val="DAEEF3"/>
              <w:sz w:val="24"/>
            </w:rPr>
            <w:t>2</w:t>
          </w:r>
          <w:r w:rsidR="00B67280">
            <w:rPr>
              <w:b/>
              <w:color w:val="DAEEF3"/>
              <w:sz w:val="24"/>
            </w:rPr>
            <w:t>5</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2956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B532A9"/>
    <w:multiLevelType w:val="hybridMultilevel"/>
    <w:tmpl w:val="70BAF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5"/>
  </w:num>
  <w:num w:numId="2" w16cid:durableId="1523666159">
    <w:abstractNumId w:val="25"/>
  </w:num>
  <w:num w:numId="3" w16cid:durableId="1865754299">
    <w:abstractNumId w:val="31"/>
  </w:num>
  <w:num w:numId="4" w16cid:durableId="818304963">
    <w:abstractNumId w:val="16"/>
  </w:num>
  <w:num w:numId="5" w16cid:durableId="909541012">
    <w:abstractNumId w:val="9"/>
  </w:num>
  <w:num w:numId="6" w16cid:durableId="1327440480">
    <w:abstractNumId w:val="13"/>
  </w:num>
  <w:num w:numId="7" w16cid:durableId="1965695332">
    <w:abstractNumId w:val="18"/>
  </w:num>
  <w:num w:numId="8" w16cid:durableId="1631742190">
    <w:abstractNumId w:val="17"/>
  </w:num>
  <w:num w:numId="9" w16cid:durableId="507452013">
    <w:abstractNumId w:val="14"/>
  </w:num>
  <w:num w:numId="10" w16cid:durableId="1380588834">
    <w:abstractNumId w:val="6"/>
  </w:num>
  <w:num w:numId="11" w16cid:durableId="905796348">
    <w:abstractNumId w:val="26"/>
  </w:num>
  <w:num w:numId="12" w16cid:durableId="561402115">
    <w:abstractNumId w:val="20"/>
  </w:num>
  <w:num w:numId="13" w16cid:durableId="2137408609">
    <w:abstractNumId w:val="21"/>
  </w:num>
  <w:num w:numId="14" w16cid:durableId="1825924056">
    <w:abstractNumId w:val="19"/>
  </w:num>
  <w:num w:numId="15" w16cid:durableId="1575043430">
    <w:abstractNumId w:val="22"/>
  </w:num>
  <w:num w:numId="16" w16cid:durableId="260797494">
    <w:abstractNumId w:val="23"/>
  </w:num>
  <w:num w:numId="17" w16cid:durableId="1416823773">
    <w:abstractNumId w:val="24"/>
  </w:num>
  <w:num w:numId="18" w16cid:durableId="870455365">
    <w:abstractNumId w:val="5"/>
  </w:num>
  <w:num w:numId="19" w16cid:durableId="352223203">
    <w:abstractNumId w:val="4"/>
  </w:num>
  <w:num w:numId="20" w16cid:durableId="859202725">
    <w:abstractNumId w:val="3"/>
  </w:num>
  <w:num w:numId="21" w16cid:durableId="767504800">
    <w:abstractNumId w:val="2"/>
  </w:num>
  <w:num w:numId="22" w16cid:durableId="1270619908">
    <w:abstractNumId w:val="1"/>
  </w:num>
  <w:num w:numId="23" w16cid:durableId="1497067334">
    <w:abstractNumId w:val="10"/>
  </w:num>
  <w:num w:numId="24" w16cid:durableId="756941337">
    <w:abstractNumId w:val="7"/>
  </w:num>
  <w:num w:numId="25" w16cid:durableId="1145244037">
    <w:abstractNumId w:val="8"/>
  </w:num>
  <w:num w:numId="26" w16cid:durableId="1266232381">
    <w:abstractNumId w:val="28"/>
  </w:num>
  <w:num w:numId="27" w16cid:durableId="379787300">
    <w:abstractNumId w:val="30"/>
  </w:num>
  <w:num w:numId="28" w16cid:durableId="424151893">
    <w:abstractNumId w:val="32"/>
  </w:num>
  <w:num w:numId="29" w16cid:durableId="107509980">
    <w:abstractNumId w:val="29"/>
  </w:num>
  <w:num w:numId="30" w16cid:durableId="223221979">
    <w:abstractNumId w:val="11"/>
  </w:num>
  <w:num w:numId="31" w16cid:durableId="817040694">
    <w:abstractNumId w:val="12"/>
  </w:num>
  <w:num w:numId="32" w16cid:durableId="1211459235">
    <w:abstractNumId w:val="0"/>
  </w:num>
  <w:num w:numId="33" w16cid:durableId="17245958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B429B"/>
    <w:rsid w:val="001E33AA"/>
    <w:rsid w:val="00205D0C"/>
    <w:rsid w:val="00217E03"/>
    <w:rsid w:val="00243397"/>
    <w:rsid w:val="0027096C"/>
    <w:rsid w:val="002766CF"/>
    <w:rsid w:val="0028515F"/>
    <w:rsid w:val="002A5D13"/>
    <w:rsid w:val="002B029B"/>
    <w:rsid w:val="002B4419"/>
    <w:rsid w:val="002D45E4"/>
    <w:rsid w:val="002E4378"/>
    <w:rsid w:val="003127E3"/>
    <w:rsid w:val="003676E3"/>
    <w:rsid w:val="00380EF0"/>
    <w:rsid w:val="003E3400"/>
    <w:rsid w:val="00433F51"/>
    <w:rsid w:val="004639C0"/>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67FA9"/>
    <w:rsid w:val="006910F2"/>
    <w:rsid w:val="006A5CFE"/>
    <w:rsid w:val="006B3F51"/>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E62B1"/>
    <w:rsid w:val="009000A8"/>
    <w:rsid w:val="009078E5"/>
    <w:rsid w:val="009352A5"/>
    <w:rsid w:val="00937B0B"/>
    <w:rsid w:val="009433D9"/>
    <w:rsid w:val="00983536"/>
    <w:rsid w:val="00985C2F"/>
    <w:rsid w:val="009A6365"/>
    <w:rsid w:val="009B721F"/>
    <w:rsid w:val="009E086C"/>
    <w:rsid w:val="009E6591"/>
    <w:rsid w:val="009F64ED"/>
    <w:rsid w:val="00A06C64"/>
    <w:rsid w:val="00A42A0D"/>
    <w:rsid w:val="00AD39D1"/>
    <w:rsid w:val="00AF17D9"/>
    <w:rsid w:val="00B01FFE"/>
    <w:rsid w:val="00B16885"/>
    <w:rsid w:val="00B67280"/>
    <w:rsid w:val="00B707AF"/>
    <w:rsid w:val="00B81586"/>
    <w:rsid w:val="00B87D52"/>
    <w:rsid w:val="00BD71E9"/>
    <w:rsid w:val="00C310AF"/>
    <w:rsid w:val="00C42D52"/>
    <w:rsid w:val="00C73E1A"/>
    <w:rsid w:val="00C91E68"/>
    <w:rsid w:val="00C9289F"/>
    <w:rsid w:val="00CC38C8"/>
    <w:rsid w:val="00CD4F0B"/>
    <w:rsid w:val="00D56265"/>
    <w:rsid w:val="00D6029A"/>
    <w:rsid w:val="00D96EA7"/>
    <w:rsid w:val="00D97E25"/>
    <w:rsid w:val="00DA1ADE"/>
    <w:rsid w:val="00DB32C7"/>
    <w:rsid w:val="00DD233A"/>
    <w:rsid w:val="00E028D9"/>
    <w:rsid w:val="00E2265E"/>
    <w:rsid w:val="00E74AD6"/>
    <w:rsid w:val="00ED7053"/>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3070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2025-10-02T09:36:00Z</dcterms:created>
  <dcterms:modified xsi:type="dcterms:W3CDTF">2025-10-02T09:36:00Z</dcterms:modified>
</cp:coreProperties>
</file>