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5E6B9B" w14:textId="77777777" w:rsidR="00C73E1A" w:rsidRDefault="007A7CA7" w:rsidP="00B707AF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0775B78C" w14:textId="1BD380DD" w:rsidR="00581B4B" w:rsidRPr="00581B4B" w:rsidRDefault="006E18EF" w:rsidP="00243397">
      <w:pPr>
        <w:tabs>
          <w:tab w:val="left" w:pos="2430"/>
        </w:tabs>
      </w:pPr>
      <w:r>
        <w:tab/>
      </w:r>
    </w:p>
    <w:p w14:paraId="4A0F35A0" w14:textId="77777777" w:rsidR="00581B4B" w:rsidRDefault="00581B4B" w:rsidP="00581B4B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CD4F0B" w14:paraId="7409F6DA" w14:textId="77777777" w:rsidTr="00B22D6E">
        <w:trPr>
          <w:cantSplit/>
          <w:trHeight w:val="278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hideMark/>
          </w:tcPr>
          <w:p w14:paraId="21632833" w14:textId="44617FCF" w:rsidR="00CD4F0B" w:rsidRPr="002F7B4F" w:rsidRDefault="00B22D6E" w:rsidP="00B22D6E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22D6E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Überblick: </w:t>
            </w:r>
            <w:proofErr w:type="spellStart"/>
            <w:r w:rsidRPr="00B22D6E">
              <w:rPr>
                <w:rFonts w:ascii="Arial" w:hAnsi="Arial" w:cs="Arial"/>
                <w:b/>
                <w:color w:val="FFFFFF"/>
                <w:sz w:val="28"/>
                <w:szCs w:val="28"/>
              </w:rPr>
              <w:t>Einstep</w:t>
            </w:r>
            <w:proofErr w:type="spellEnd"/>
            <w:r w:rsidRPr="00B22D6E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3.0 </w:t>
            </w:r>
          </w:p>
        </w:tc>
      </w:tr>
      <w:tr w:rsidR="00A14F77" w:rsidRPr="00B22D6E" w14:paraId="5DAC5EB1" w14:textId="77777777" w:rsidTr="00B22D6E">
        <w:trPr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1D118AC" w14:textId="36AB81AC" w:rsidR="00A14F77" w:rsidRPr="00B22D6E" w:rsidRDefault="00B22D6E" w:rsidP="00B22D6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2D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1. Neuer Aufbau (3 Kapitel ersetzen die alte Gliederung) </w:t>
            </w:r>
          </w:p>
        </w:tc>
      </w:tr>
      <w:tr w:rsidR="00B22D6E" w:rsidRPr="00B22D6E" w14:paraId="7741F5F2" w14:textId="77777777" w:rsidTr="00B22D6E">
        <w:trPr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00ED" w14:textId="77777777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>Kapitel I: aktuelle Entwicklungen (Pflegewissenschaft, neuer Pflegebedürftig</w:t>
            </w:r>
            <w:r w:rsidRPr="00B22D6E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keitsbegriff, Pflegeprozess, DNQP, QPR, Vorbehaltsaufgaben, Digitalisierung) </w:t>
            </w:r>
          </w:p>
          <w:p w14:paraId="25BE4776" w14:textId="1597D249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 xml:space="preserve">Kapitel II: 4 Elemente des Strukturmodells (SIS®, Maßnahmenplan, Berichteblatt, Evaluation) </w:t>
            </w:r>
          </w:p>
          <w:p w14:paraId="1792D6AA" w14:textId="7A0E2CEF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 xml:space="preserve">Kapitel III: Umsetzung, Management, Steuerung </w:t>
            </w:r>
          </w:p>
        </w:tc>
      </w:tr>
      <w:tr w:rsidR="00B22D6E" w:rsidRPr="00B22D6E" w14:paraId="2042D7A4" w14:textId="77777777" w:rsidTr="00B22D6E">
        <w:trPr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EC82BBD" w14:textId="5D1E71AB" w:rsidR="00B22D6E" w:rsidRPr="00B22D6E" w:rsidRDefault="00B22D6E" w:rsidP="00B22D6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2D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2. Evaluation gestärkt </w:t>
            </w:r>
          </w:p>
        </w:tc>
      </w:tr>
      <w:tr w:rsidR="00B22D6E" w:rsidRPr="00B22D6E" w14:paraId="230542FD" w14:textId="77777777" w:rsidTr="00B22D6E">
        <w:trPr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3648" w14:textId="77777777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 xml:space="preserve">eigener Abschnitt mit „kleinem und großem Evaluationskreis“ </w:t>
            </w:r>
          </w:p>
          <w:p w14:paraId="6CE5296B" w14:textId="77777777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 xml:space="preserve">Verfahren der vertieften Einschätzung </w:t>
            </w:r>
          </w:p>
          <w:p w14:paraId="7D1B7FDD" w14:textId="4AE5ABA2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 xml:space="preserve">klare Anlässe für Evaluationen </w:t>
            </w:r>
          </w:p>
        </w:tc>
      </w:tr>
      <w:tr w:rsidR="00B22D6E" w:rsidRPr="00B22D6E" w14:paraId="4464B5E1" w14:textId="77777777" w:rsidTr="00B22D6E">
        <w:trPr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FCF7267" w14:textId="3C25233E" w:rsidR="00B22D6E" w:rsidRPr="00B22D6E" w:rsidRDefault="00B22D6E" w:rsidP="00B22D6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2D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3. Präzisierungen </w:t>
            </w:r>
          </w:p>
        </w:tc>
      </w:tr>
      <w:tr w:rsidR="00B22D6E" w:rsidRPr="00B22D6E" w14:paraId="2DC7EE90" w14:textId="77777777" w:rsidTr="00B22D6E">
        <w:trPr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F66" w14:textId="77777777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 xml:space="preserve">einheitliche Terminologie in der SIS® </w:t>
            </w:r>
          </w:p>
          <w:p w14:paraId="690A736B" w14:textId="77777777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 xml:space="preserve">Praxisbeispiele, Checklisten, Impuls- und „Beachte“-Symbole </w:t>
            </w:r>
          </w:p>
          <w:p w14:paraId="41567B60" w14:textId="63B1EE7A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 xml:space="preserve">Hinweise für ambulante Pflege, Tages- und Kurzzeitpflege integriert </w:t>
            </w:r>
          </w:p>
        </w:tc>
      </w:tr>
      <w:tr w:rsidR="00B22D6E" w:rsidRPr="00B22D6E" w14:paraId="345560A4" w14:textId="77777777" w:rsidTr="00B22D6E">
        <w:trPr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5AB16C" w14:textId="0C09D0FB" w:rsidR="00B22D6E" w:rsidRPr="00B22D6E" w:rsidRDefault="00B22D6E" w:rsidP="00B22D6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2D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4. Digitalisierung und KI </w:t>
            </w:r>
          </w:p>
        </w:tc>
      </w:tr>
      <w:tr w:rsidR="00B22D6E" w:rsidRPr="00B22D6E" w14:paraId="6F8FF72E" w14:textId="77777777" w:rsidTr="00B22D6E">
        <w:trPr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3ED7" w14:textId="77777777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 xml:space="preserve">Ausgangspunkt: überwiegend EDV-gestützte Dokumentation </w:t>
            </w:r>
          </w:p>
          <w:p w14:paraId="6C078E6D" w14:textId="77777777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 xml:space="preserve">Hinweise für Softwareanbieter </w:t>
            </w:r>
          </w:p>
          <w:p w14:paraId="7C4B4B2D" w14:textId="2C682B2B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 xml:space="preserve">Chancen und Grenzen von KI </w:t>
            </w:r>
          </w:p>
        </w:tc>
      </w:tr>
      <w:tr w:rsidR="00B22D6E" w:rsidRPr="00B22D6E" w14:paraId="46B48932" w14:textId="77777777" w:rsidTr="00B22D6E">
        <w:trPr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963049B" w14:textId="6FED3A4E" w:rsidR="00B22D6E" w:rsidRPr="00B22D6E" w:rsidRDefault="00B22D6E" w:rsidP="00B22D6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2D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5. Rechtliche Bezüge </w:t>
            </w:r>
          </w:p>
        </w:tc>
      </w:tr>
      <w:tr w:rsidR="00B22D6E" w:rsidRPr="00B22D6E" w14:paraId="5251FDDE" w14:textId="77777777" w:rsidTr="00B22D6E">
        <w:trPr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6AD7" w14:textId="77777777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 xml:space="preserve">Vorbehaltsaufgaben (§ 4 </w:t>
            </w:r>
            <w:proofErr w:type="spellStart"/>
            <w:r w:rsidRPr="00B22D6E">
              <w:rPr>
                <w:rFonts w:ascii="Arial" w:hAnsi="Arial" w:cs="Arial"/>
                <w:color w:val="000000" w:themeColor="text1"/>
                <w:sz w:val="24"/>
              </w:rPr>
              <w:t>PflBG</w:t>
            </w:r>
            <w:proofErr w:type="spellEnd"/>
            <w:r w:rsidRPr="00B22D6E">
              <w:rPr>
                <w:rFonts w:ascii="Arial" w:hAnsi="Arial" w:cs="Arial"/>
                <w:color w:val="000000" w:themeColor="text1"/>
                <w:sz w:val="24"/>
              </w:rPr>
              <w:t xml:space="preserve">) klar zugeordnet </w:t>
            </w:r>
          </w:p>
          <w:p w14:paraId="7949B00A" w14:textId="77777777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 xml:space="preserve">Bezug zu § 14 SGB XI und Begutachtungsinstrument </w:t>
            </w:r>
          </w:p>
          <w:p w14:paraId="1AF36C3E" w14:textId="77777777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 xml:space="preserve">DNQP-Standards verknüpft </w:t>
            </w:r>
          </w:p>
          <w:p w14:paraId="79371C9F" w14:textId="4DF5A4E6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 xml:space="preserve">QPR: Fokus auf Fachgespräche statt Dokumentationslast </w:t>
            </w:r>
          </w:p>
        </w:tc>
      </w:tr>
      <w:tr w:rsidR="00B22D6E" w:rsidRPr="00B22D6E" w14:paraId="08FE1F69" w14:textId="77777777" w:rsidTr="00B22D6E">
        <w:trPr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B62665E" w14:textId="06B9E944" w:rsidR="00B22D6E" w:rsidRPr="00B22D6E" w:rsidRDefault="00B22D6E" w:rsidP="00B22D6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2D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6. Umsetzung und Management </w:t>
            </w:r>
          </w:p>
        </w:tc>
      </w:tr>
      <w:tr w:rsidR="00B22D6E" w:rsidRPr="00B22D6E" w14:paraId="1C633F05" w14:textId="77777777" w:rsidTr="00B22D6E">
        <w:trPr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A56A" w14:textId="77777777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 xml:space="preserve">Projektplanung, Steuerungsgruppen, Schulungsbedarf </w:t>
            </w:r>
          </w:p>
          <w:p w14:paraId="364551E3" w14:textId="36018798" w:rsidR="00B22D6E" w:rsidRPr="00B22D6E" w:rsidRDefault="00B22D6E" w:rsidP="00B22D6E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351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B22D6E">
              <w:rPr>
                <w:rFonts w:ascii="Arial" w:hAnsi="Arial" w:cs="Arial"/>
                <w:color w:val="000000" w:themeColor="text1"/>
                <w:sz w:val="24"/>
              </w:rPr>
              <w:t>Praxisbeispiele und Verstetigungshinweise</w:t>
            </w:r>
          </w:p>
        </w:tc>
      </w:tr>
    </w:tbl>
    <w:p w14:paraId="04391133" w14:textId="77777777" w:rsidR="00B22D6E" w:rsidRPr="00B22D6E" w:rsidRDefault="00B22D6E" w:rsidP="00B22D6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B22D6E" w:rsidRPr="00B22D6E" w:rsidSect="00985C2F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C00D" w14:textId="77777777" w:rsidR="00C7367C" w:rsidRDefault="00C7367C" w:rsidP="002A5D13">
      <w:pPr>
        <w:spacing w:after="0" w:line="240" w:lineRule="auto"/>
      </w:pPr>
      <w:r>
        <w:separator/>
      </w:r>
    </w:p>
  </w:endnote>
  <w:endnote w:type="continuationSeparator" w:id="0">
    <w:p w14:paraId="61A9C8C4" w14:textId="77777777" w:rsidR="00C7367C" w:rsidRDefault="00C7367C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B18D" w14:textId="77777777" w:rsidR="00C7367C" w:rsidRDefault="00C7367C" w:rsidP="002A5D13">
      <w:pPr>
        <w:spacing w:after="0" w:line="240" w:lineRule="auto"/>
      </w:pPr>
      <w:r>
        <w:separator/>
      </w:r>
    </w:p>
  </w:footnote>
  <w:footnote w:type="continuationSeparator" w:id="0">
    <w:p w14:paraId="5B9713EB" w14:textId="77777777" w:rsidR="00C7367C" w:rsidRDefault="00C7367C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683093AD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B67280">
            <w:rPr>
              <w:b/>
              <w:color w:val="DAEEF3"/>
              <w:sz w:val="24"/>
            </w:rPr>
            <w:t>2</w:t>
          </w:r>
          <w:r w:rsidR="00A14F77">
            <w:rPr>
              <w:b/>
              <w:color w:val="DAEEF3"/>
              <w:sz w:val="24"/>
            </w:rPr>
            <w:t>3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981F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BA48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FB239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1EA46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5A184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56E29FC"/>
    <w:multiLevelType w:val="hybridMultilevel"/>
    <w:tmpl w:val="C608AA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ECE1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20"/>
  </w:num>
  <w:num w:numId="2" w16cid:durableId="1523666159">
    <w:abstractNumId w:val="30"/>
  </w:num>
  <w:num w:numId="3" w16cid:durableId="1865754299">
    <w:abstractNumId w:val="36"/>
  </w:num>
  <w:num w:numId="4" w16cid:durableId="818304963">
    <w:abstractNumId w:val="21"/>
  </w:num>
  <w:num w:numId="5" w16cid:durableId="909541012">
    <w:abstractNumId w:val="13"/>
  </w:num>
  <w:num w:numId="6" w16cid:durableId="1327440480">
    <w:abstractNumId w:val="18"/>
  </w:num>
  <w:num w:numId="7" w16cid:durableId="1965695332">
    <w:abstractNumId w:val="23"/>
  </w:num>
  <w:num w:numId="8" w16cid:durableId="1631742190">
    <w:abstractNumId w:val="22"/>
  </w:num>
  <w:num w:numId="9" w16cid:durableId="507452013">
    <w:abstractNumId w:val="19"/>
  </w:num>
  <w:num w:numId="10" w16cid:durableId="1380588834">
    <w:abstractNumId w:val="8"/>
  </w:num>
  <w:num w:numId="11" w16cid:durableId="905796348">
    <w:abstractNumId w:val="31"/>
  </w:num>
  <w:num w:numId="12" w16cid:durableId="561402115">
    <w:abstractNumId w:val="25"/>
  </w:num>
  <w:num w:numId="13" w16cid:durableId="2137408609">
    <w:abstractNumId w:val="26"/>
  </w:num>
  <w:num w:numId="14" w16cid:durableId="1825924056">
    <w:abstractNumId w:val="24"/>
  </w:num>
  <w:num w:numId="15" w16cid:durableId="1575043430">
    <w:abstractNumId w:val="27"/>
  </w:num>
  <w:num w:numId="16" w16cid:durableId="260797494">
    <w:abstractNumId w:val="28"/>
  </w:num>
  <w:num w:numId="17" w16cid:durableId="1416823773">
    <w:abstractNumId w:val="29"/>
  </w:num>
  <w:num w:numId="18" w16cid:durableId="870455365">
    <w:abstractNumId w:val="7"/>
  </w:num>
  <w:num w:numId="19" w16cid:durableId="352223203">
    <w:abstractNumId w:val="6"/>
  </w:num>
  <w:num w:numId="20" w16cid:durableId="859202725">
    <w:abstractNumId w:val="5"/>
  </w:num>
  <w:num w:numId="21" w16cid:durableId="767504800">
    <w:abstractNumId w:val="4"/>
  </w:num>
  <w:num w:numId="22" w16cid:durableId="1270619908">
    <w:abstractNumId w:val="3"/>
  </w:num>
  <w:num w:numId="23" w16cid:durableId="1497067334">
    <w:abstractNumId w:val="14"/>
  </w:num>
  <w:num w:numId="24" w16cid:durableId="756941337">
    <w:abstractNumId w:val="11"/>
  </w:num>
  <w:num w:numId="25" w16cid:durableId="1145244037">
    <w:abstractNumId w:val="12"/>
  </w:num>
  <w:num w:numId="26" w16cid:durableId="1266232381">
    <w:abstractNumId w:val="33"/>
  </w:num>
  <w:num w:numId="27" w16cid:durableId="379787300">
    <w:abstractNumId w:val="35"/>
  </w:num>
  <w:num w:numId="28" w16cid:durableId="424151893">
    <w:abstractNumId w:val="37"/>
  </w:num>
  <w:num w:numId="29" w16cid:durableId="107509980">
    <w:abstractNumId w:val="34"/>
  </w:num>
  <w:num w:numId="30" w16cid:durableId="223221979">
    <w:abstractNumId w:val="16"/>
  </w:num>
  <w:num w:numId="31" w16cid:durableId="817040694">
    <w:abstractNumId w:val="17"/>
  </w:num>
  <w:num w:numId="32" w16cid:durableId="1048191396">
    <w:abstractNumId w:val="2"/>
  </w:num>
  <w:num w:numId="33" w16cid:durableId="1413236229">
    <w:abstractNumId w:val="9"/>
  </w:num>
  <w:num w:numId="34" w16cid:durableId="1810779285">
    <w:abstractNumId w:val="32"/>
  </w:num>
  <w:num w:numId="35" w16cid:durableId="767427098">
    <w:abstractNumId w:val="1"/>
  </w:num>
  <w:num w:numId="36" w16cid:durableId="1181044485">
    <w:abstractNumId w:val="10"/>
  </w:num>
  <w:num w:numId="37" w16cid:durableId="647053465">
    <w:abstractNumId w:val="0"/>
  </w:num>
  <w:num w:numId="38" w16cid:durableId="6805447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2E54C8"/>
    <w:rsid w:val="003676E3"/>
    <w:rsid w:val="00380EF0"/>
    <w:rsid w:val="003E3400"/>
    <w:rsid w:val="00433F51"/>
    <w:rsid w:val="004639C0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14F77"/>
    <w:rsid w:val="00A42A0D"/>
    <w:rsid w:val="00AD39D1"/>
    <w:rsid w:val="00AF17D9"/>
    <w:rsid w:val="00B01FFE"/>
    <w:rsid w:val="00B16885"/>
    <w:rsid w:val="00B22D6E"/>
    <w:rsid w:val="00B67280"/>
    <w:rsid w:val="00B707AF"/>
    <w:rsid w:val="00B81586"/>
    <w:rsid w:val="00B87D52"/>
    <w:rsid w:val="00BD71E9"/>
    <w:rsid w:val="00C310AF"/>
    <w:rsid w:val="00C42D52"/>
    <w:rsid w:val="00C7367C"/>
    <w:rsid w:val="00C73E1A"/>
    <w:rsid w:val="00C91E68"/>
    <w:rsid w:val="00C9289F"/>
    <w:rsid w:val="00CC38C8"/>
    <w:rsid w:val="00CD4F0B"/>
    <w:rsid w:val="00D56265"/>
    <w:rsid w:val="00D6029A"/>
    <w:rsid w:val="00D96EA7"/>
    <w:rsid w:val="00D97E25"/>
    <w:rsid w:val="00DA1ADE"/>
    <w:rsid w:val="00DA7645"/>
    <w:rsid w:val="00DB32C7"/>
    <w:rsid w:val="00DD233A"/>
    <w:rsid w:val="00E028D9"/>
    <w:rsid w:val="00E2265E"/>
    <w:rsid w:val="00E73BDB"/>
    <w:rsid w:val="00E74AD6"/>
    <w:rsid w:val="00ED7053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2025-10-15T07:55:00Z</dcterms:created>
  <dcterms:modified xsi:type="dcterms:W3CDTF">2025-10-15T07:55:00Z</dcterms:modified>
</cp:coreProperties>
</file>