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6D16" wp14:editId="160AC940">
                <wp:simplePos x="0" y="0"/>
                <wp:positionH relativeFrom="column">
                  <wp:posOffset>4853305</wp:posOffset>
                </wp:positionH>
                <wp:positionV relativeFrom="paragraph">
                  <wp:posOffset>1176655</wp:posOffset>
                </wp:positionV>
                <wp:extent cx="1685925" cy="457200"/>
                <wp:effectExtent l="0" t="0" r="28575" b="19050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5C22C958" w:rsidR="0075023C" w:rsidRPr="0075023C" w:rsidRDefault="00B1194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Sondera</w:t>
                            </w:r>
                            <w:r w:rsidR="002A072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usgabe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0C19C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92.65pt;width:132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" fillcolor="#f1a983 [1941]" strokecolor="#f6c5ac [1301]" strokeweight=".5pt">
                <v:textbox>
                  <w:txbxContent>
                    <w:p w14:paraId="3BDBDBA4" w14:textId="5C22C958" w:rsidR="0075023C" w:rsidRPr="0075023C" w:rsidRDefault="00B1194D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Sondera</w:t>
                      </w:r>
                      <w:r w:rsidR="002A072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usgabe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0C19C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3195"/>
        <w:gridCol w:w="6865"/>
      </w:tblGrid>
      <w:tr w:rsidR="00B110ED" w14:paraId="037B22FE" w14:textId="3A4C4658" w:rsidTr="001B50A6">
        <w:trPr>
          <w:trHeight w:val="385"/>
        </w:trPr>
        <w:tc>
          <w:tcPr>
            <w:tcW w:w="10060" w:type="dxa"/>
            <w:gridSpan w:val="2"/>
            <w:shd w:val="clear" w:color="auto" w:fill="F1A983" w:themeFill="accent2" w:themeFillTint="99"/>
          </w:tcPr>
          <w:p w14:paraId="1B336CB9" w14:textId="3B5CA9F8" w:rsidR="00B110ED" w:rsidRPr="00B110ED" w:rsidRDefault="001B50A6" w:rsidP="001B50A6">
            <w:pPr>
              <w:jc w:val="center"/>
              <w:rPr>
                <w:b/>
                <w:bCs/>
                <w:sz w:val="32"/>
                <w:szCs w:val="32"/>
              </w:rPr>
            </w:pPr>
            <w:r w:rsidRPr="001B50A6">
              <w:rPr>
                <w:b/>
                <w:bCs/>
                <w:sz w:val="32"/>
                <w:szCs w:val="32"/>
              </w:rPr>
              <w:t>ÜBERSICHT: Von der Haltung zum Handeln: 7 positive Interventionen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1B50A6">
              <w:rPr>
                <w:b/>
                <w:bCs/>
                <w:sz w:val="32"/>
                <w:szCs w:val="32"/>
              </w:rPr>
              <w:t>für die personenzentrierte Pflege</w:t>
            </w:r>
          </w:p>
        </w:tc>
      </w:tr>
      <w:tr w:rsidR="001B50A6" w14:paraId="1FD39C61" w14:textId="1F46ECA3" w:rsidTr="00743086">
        <w:trPr>
          <w:trHeight w:val="641"/>
        </w:trPr>
        <w:tc>
          <w:tcPr>
            <w:tcW w:w="2689" w:type="dxa"/>
            <w:shd w:val="clear" w:color="auto" w:fill="FAE2D5"/>
          </w:tcPr>
          <w:p w14:paraId="7D6ED2E1" w14:textId="77777777" w:rsidR="00743086" w:rsidRPr="00743086" w:rsidRDefault="00743086" w:rsidP="00743086">
            <w:pPr>
              <w:rPr>
                <w:b/>
                <w:bCs/>
              </w:rPr>
            </w:pPr>
            <w:r w:rsidRPr="00743086">
              <w:rPr>
                <w:b/>
                <w:bCs/>
              </w:rPr>
              <w:t>Positive Interventionen zur</w:t>
            </w:r>
          </w:p>
          <w:p w14:paraId="1F9D06F7" w14:textId="77777777" w:rsidR="00743086" w:rsidRPr="00743086" w:rsidRDefault="00743086" w:rsidP="00743086">
            <w:pPr>
              <w:rPr>
                <w:b/>
                <w:bCs/>
              </w:rPr>
            </w:pPr>
            <w:r w:rsidRPr="00743086">
              <w:rPr>
                <w:b/>
                <w:bCs/>
              </w:rPr>
              <w:t>Stärkung des Personseins</w:t>
            </w:r>
          </w:p>
          <w:p w14:paraId="4F76E8F3" w14:textId="6620E3B5" w:rsidR="001B50A6" w:rsidRPr="006512DE" w:rsidRDefault="00743086" w:rsidP="00743086">
            <w:r w:rsidRPr="00743086">
              <w:rPr>
                <w:b/>
                <w:bCs/>
              </w:rPr>
              <w:t xml:space="preserve">nach </w:t>
            </w:r>
            <w:proofErr w:type="spellStart"/>
            <w:r w:rsidRPr="00743086">
              <w:rPr>
                <w:b/>
                <w:bCs/>
              </w:rPr>
              <w:t>Kitwood</w:t>
            </w:r>
            <w:proofErr w:type="spellEnd"/>
          </w:p>
        </w:tc>
        <w:tc>
          <w:tcPr>
            <w:tcW w:w="7371" w:type="dxa"/>
            <w:shd w:val="clear" w:color="auto" w:fill="FAE2D5"/>
          </w:tcPr>
          <w:p w14:paraId="1E813422" w14:textId="265DF38A" w:rsidR="001B50A6" w:rsidRPr="00790409" w:rsidRDefault="00743086" w:rsidP="00D00EA4">
            <w:r w:rsidRPr="00743086">
              <w:rPr>
                <w:b/>
                <w:bCs/>
              </w:rPr>
              <w:t>Bedeutung für Ihre Tagespflege</w:t>
            </w:r>
          </w:p>
        </w:tc>
      </w:tr>
      <w:tr w:rsidR="001B50A6" w14:paraId="35A7FF7A" w14:textId="2097A996" w:rsidTr="00743086">
        <w:trPr>
          <w:trHeight w:val="2406"/>
        </w:trPr>
        <w:tc>
          <w:tcPr>
            <w:tcW w:w="2689" w:type="dxa"/>
          </w:tcPr>
          <w:p w14:paraId="542104FE" w14:textId="77777777" w:rsidR="00635C1E" w:rsidRPr="00635C1E" w:rsidRDefault="00635C1E" w:rsidP="00635C1E">
            <w:pPr>
              <w:rPr>
                <w:b/>
                <w:bCs/>
              </w:rPr>
            </w:pPr>
            <w:r w:rsidRPr="00635C1E">
              <w:rPr>
                <w:b/>
                <w:bCs/>
              </w:rPr>
              <w:t>1. Anerkennung als wichtige</w:t>
            </w:r>
          </w:p>
          <w:p w14:paraId="11C95FEA" w14:textId="77777777" w:rsidR="00635C1E" w:rsidRPr="00635C1E" w:rsidRDefault="00635C1E" w:rsidP="00635C1E">
            <w:pPr>
              <w:rPr>
                <w:b/>
                <w:bCs/>
              </w:rPr>
            </w:pPr>
            <w:r w:rsidRPr="00635C1E">
              <w:rPr>
                <w:b/>
                <w:bCs/>
              </w:rPr>
              <w:t>Grundlage</w:t>
            </w:r>
          </w:p>
          <w:p w14:paraId="75714D1A" w14:textId="77777777" w:rsidR="00635C1E" w:rsidRPr="00635C1E" w:rsidRDefault="00635C1E" w:rsidP="00635C1E">
            <w:r w:rsidRPr="00635C1E">
              <w:t>Ein Mensch soll so angenommen werden,</w:t>
            </w:r>
          </w:p>
          <w:p w14:paraId="75F4740A" w14:textId="16A7C806" w:rsidR="001B50A6" w:rsidRPr="00945C75" w:rsidRDefault="00635C1E" w:rsidP="00635C1E">
            <w:r w:rsidRPr="00635C1E">
              <w:t>wie er ist, mit und ohne Demenz.</w:t>
            </w:r>
          </w:p>
        </w:tc>
        <w:tc>
          <w:tcPr>
            <w:tcW w:w="7371" w:type="dxa"/>
          </w:tcPr>
          <w:p w14:paraId="22EF21E4" w14:textId="1D444D86" w:rsidR="00635C1E" w:rsidRPr="00635C1E" w:rsidRDefault="00635C1E" w:rsidP="00635C1E">
            <w:r w:rsidRPr="00635C1E">
              <w:t>In Ihrem Praxisalltag bedeutet dies, eine offene und vorurteilsfreie Haltung in die Begegnung Ihrer Gäste</w:t>
            </w:r>
            <w:r>
              <w:t xml:space="preserve"> </w:t>
            </w:r>
            <w:r w:rsidRPr="00635C1E">
              <w:t>mit Demenz einzubringen. Auch wenn ähnliche Diagnosen bestehen, erleben Sie, dass jeder Gast mit</w:t>
            </w:r>
          </w:p>
          <w:p w14:paraId="50C5D7AA" w14:textId="36FB38F6" w:rsidR="00635C1E" w:rsidRPr="00635C1E" w:rsidRDefault="00635C1E" w:rsidP="00635C1E">
            <w:r w:rsidRPr="00635C1E">
              <w:t>Demenz ganz unterschiedlich reagiert. Erleben und Reaktion lassen sich nicht verallgemeinern, und jeder</w:t>
            </w:r>
            <w:r>
              <w:t xml:space="preserve"> </w:t>
            </w:r>
            <w:r w:rsidRPr="00635C1E">
              <w:t>Gast hat ganz individuelle Bedürfnisse. Es kann manchmal eine Herausforderung sein, diese Bedürfnisse</w:t>
            </w:r>
            <w:r>
              <w:t xml:space="preserve"> </w:t>
            </w:r>
            <w:r w:rsidRPr="00635C1E">
              <w:t>zu erkennen. Mit Ihrer achtsamen Begleitung, die den Einzelnen im Blick hat, sind Sie schon den wichtigsten</w:t>
            </w:r>
          </w:p>
          <w:p w14:paraId="50EF6C20" w14:textId="77777777" w:rsidR="00635C1E" w:rsidRPr="00635C1E" w:rsidRDefault="00635C1E" w:rsidP="00635C1E">
            <w:r w:rsidRPr="00635C1E">
              <w:t>Schritt der Anerkennung im Sinne des personenzentrierten Umgangs gegangen.</w:t>
            </w:r>
          </w:p>
          <w:p w14:paraId="0C13D986" w14:textId="77777777" w:rsidR="00635C1E" w:rsidRPr="00635C1E" w:rsidRDefault="00635C1E" w:rsidP="00635C1E">
            <w:r w:rsidRPr="00635C1E">
              <w:rPr>
                <w:b/>
                <w:bCs/>
              </w:rPr>
              <w:t xml:space="preserve">Praktische Umsetzung: </w:t>
            </w:r>
            <w:r w:rsidRPr="00635C1E">
              <w:t>Schon kleine Gesten zeigen Ihrem Gast mit Demenz Anerkennung, z. B.</w:t>
            </w:r>
          </w:p>
          <w:p w14:paraId="708CB19C" w14:textId="77777777" w:rsidR="00635C1E" w:rsidRPr="00635C1E" w:rsidRDefault="00635C1E" w:rsidP="00635C1E">
            <w:r w:rsidRPr="00635C1E">
              <w:t>Ihren Gast mit Demenz mit seinem Namen begrüßen, Blickkontakt aufnehmen, ihm zuhören und ihm</w:t>
            </w:r>
          </w:p>
          <w:p w14:paraId="3E148E68" w14:textId="608695E5" w:rsidR="001B50A6" w:rsidRPr="00945C75" w:rsidRDefault="00635C1E" w:rsidP="00635C1E">
            <w:r w:rsidRPr="00635C1E">
              <w:t>Aufmerksamkeit schenken.</w:t>
            </w:r>
          </w:p>
        </w:tc>
      </w:tr>
      <w:tr w:rsidR="001B50A6" w14:paraId="2F8200AE" w14:textId="77777777" w:rsidTr="00743086">
        <w:trPr>
          <w:trHeight w:val="3257"/>
        </w:trPr>
        <w:tc>
          <w:tcPr>
            <w:tcW w:w="2689" w:type="dxa"/>
          </w:tcPr>
          <w:p w14:paraId="4FBCB829" w14:textId="77777777" w:rsidR="00635C1E" w:rsidRPr="00635C1E" w:rsidRDefault="00635C1E" w:rsidP="00635C1E">
            <w:pPr>
              <w:rPr>
                <w:b/>
                <w:bCs/>
              </w:rPr>
            </w:pPr>
            <w:r w:rsidRPr="00635C1E">
              <w:rPr>
                <w:b/>
                <w:bCs/>
              </w:rPr>
              <w:t>2. Verhandeln</w:t>
            </w:r>
          </w:p>
          <w:p w14:paraId="15F1D7DC" w14:textId="77777777" w:rsidR="00635C1E" w:rsidRPr="00635C1E" w:rsidRDefault="00635C1E" w:rsidP="00635C1E">
            <w:r w:rsidRPr="00635C1E">
              <w:t>Die Person mit Demenz wird nicht vor</w:t>
            </w:r>
          </w:p>
          <w:p w14:paraId="79F2DA07" w14:textId="77777777" w:rsidR="00635C1E" w:rsidRPr="00635C1E" w:rsidRDefault="00635C1E" w:rsidP="00635C1E">
            <w:r w:rsidRPr="00635C1E">
              <w:t>vollendete Tatsachen gestellt. Sie soll</w:t>
            </w:r>
          </w:p>
          <w:p w14:paraId="74A326D7" w14:textId="2709888A" w:rsidR="00635C1E" w:rsidRPr="00635C1E" w:rsidRDefault="00635C1E" w:rsidP="00635C1E">
            <w:r w:rsidRPr="00635C1E">
              <w:t xml:space="preserve">nach ihren Fähigkeiten in </w:t>
            </w:r>
            <w:r>
              <w:t>E</w:t>
            </w:r>
            <w:r w:rsidRPr="00635C1E">
              <w:t>ntscheidungsprozesse</w:t>
            </w:r>
          </w:p>
          <w:p w14:paraId="32160051" w14:textId="77777777" w:rsidR="00635C1E" w:rsidRPr="00635C1E" w:rsidRDefault="00635C1E" w:rsidP="00635C1E">
            <w:r w:rsidRPr="00635C1E">
              <w:t>mit eingebunden werden.</w:t>
            </w:r>
          </w:p>
          <w:p w14:paraId="1116E0CC" w14:textId="77777777" w:rsidR="00635C1E" w:rsidRPr="00635C1E" w:rsidRDefault="00635C1E" w:rsidP="00635C1E">
            <w:r w:rsidRPr="00635C1E">
              <w:t>Die Umsetzung des Willens wird</w:t>
            </w:r>
          </w:p>
          <w:p w14:paraId="4E1EB597" w14:textId="35BA9C85" w:rsidR="001B50A6" w:rsidRPr="009C4528" w:rsidRDefault="00635C1E" w:rsidP="00635C1E">
            <w:r w:rsidRPr="00635C1E">
              <w:t>mit der Person ausgehandelt.</w:t>
            </w:r>
          </w:p>
        </w:tc>
        <w:tc>
          <w:tcPr>
            <w:tcW w:w="7371" w:type="dxa"/>
          </w:tcPr>
          <w:p w14:paraId="23A479E6" w14:textId="2F523044" w:rsidR="00895BF3" w:rsidRPr="00895BF3" w:rsidRDefault="00895BF3" w:rsidP="00895BF3">
            <w:r w:rsidRPr="00895BF3">
              <w:t>Die Möglichkeit zu erhalten, Entscheidungen zu treffen, gibt Kontrolle zurück. Wer entscheiden kann,</w:t>
            </w:r>
            <w:r>
              <w:t xml:space="preserve"> </w:t>
            </w:r>
            <w:r w:rsidRPr="00895BF3">
              <w:t>gewinnt ein Stück Kontrolle über sein Leben. Dies stärkt die Selbstwirksamkeit. Wie gewohnt respektieren</w:t>
            </w:r>
          </w:p>
          <w:p w14:paraId="2BE54643" w14:textId="2647BEC5" w:rsidR="00895BF3" w:rsidRPr="00895BF3" w:rsidRDefault="00895BF3" w:rsidP="00895BF3">
            <w:r w:rsidRPr="00895BF3">
              <w:t>Sie den Willen Ihres Gastes mit Demenz. Verhandeln bietet die Möglichkeit, gemeinsam und</w:t>
            </w:r>
            <w:r>
              <w:t xml:space="preserve"> </w:t>
            </w:r>
            <w:r w:rsidRPr="00895BF3">
              <w:t>nicht über den Kopf der Person hinweg Entscheidungen zu treffen.</w:t>
            </w:r>
          </w:p>
          <w:p w14:paraId="0B293DB9" w14:textId="4D940FCC" w:rsidR="001B50A6" w:rsidRPr="009C4528" w:rsidRDefault="00895BF3" w:rsidP="00895BF3">
            <w:r w:rsidRPr="00895BF3">
              <w:rPr>
                <w:b/>
                <w:bCs/>
              </w:rPr>
              <w:t xml:space="preserve">Praktische Umsetzung: </w:t>
            </w:r>
            <w:r w:rsidRPr="00895BF3">
              <w:t>Fragen Sie, auch wenn Sie vielleicht schon die Antwort kennen, was Ihr Gast</w:t>
            </w:r>
            <w:r>
              <w:t xml:space="preserve"> </w:t>
            </w:r>
            <w:r w:rsidRPr="00895BF3">
              <w:t>möchte. Wenn Ihrem Gast die Entscheidung schwerfällt, können Sie unterstützen, indem Sie 1–2 Möglichkeiten</w:t>
            </w:r>
            <w:r>
              <w:t xml:space="preserve"> </w:t>
            </w:r>
            <w:r w:rsidRPr="00895BF3">
              <w:t>vorschlagen. Zeigen Sie bei Bedarf mit Gesten und Gegenständen, um was es gerade geht.</w:t>
            </w:r>
            <w:r>
              <w:t xml:space="preserve"> </w:t>
            </w:r>
            <w:r w:rsidRPr="00895BF3">
              <w:t>Auch ein nonverbales Ja oder Nein ist eine Entscheidungsäußerung. Verhandeln Sie auf Augenhöhe, z. B.</w:t>
            </w:r>
            <w:r>
              <w:t xml:space="preserve"> </w:t>
            </w:r>
            <w:r w:rsidRPr="00895BF3">
              <w:t xml:space="preserve">können Sie fragen: </w:t>
            </w:r>
            <w:r w:rsidRPr="00895BF3">
              <w:rPr>
                <w:i/>
                <w:iCs/>
              </w:rPr>
              <w:t>„Was halten Sie davon, später Tee zu trinken und zuerst etwas Luft zu schnappen?“</w:t>
            </w:r>
          </w:p>
        </w:tc>
      </w:tr>
      <w:tr w:rsidR="001B50A6" w14:paraId="514BBBD1" w14:textId="77777777" w:rsidTr="00743086">
        <w:trPr>
          <w:trHeight w:val="2105"/>
        </w:trPr>
        <w:tc>
          <w:tcPr>
            <w:tcW w:w="2689" w:type="dxa"/>
          </w:tcPr>
          <w:p w14:paraId="27155B3B" w14:textId="77777777" w:rsidR="00895BF3" w:rsidRPr="00895BF3" w:rsidRDefault="00895BF3" w:rsidP="00895BF3">
            <w:pPr>
              <w:rPr>
                <w:b/>
                <w:bCs/>
              </w:rPr>
            </w:pPr>
            <w:r w:rsidRPr="00895BF3">
              <w:rPr>
                <w:b/>
                <w:bCs/>
              </w:rPr>
              <w:lastRenderedPageBreak/>
              <w:t>3. Zusammenarbeit</w:t>
            </w:r>
          </w:p>
          <w:p w14:paraId="79599B08" w14:textId="77777777" w:rsidR="00895BF3" w:rsidRPr="00895BF3" w:rsidRDefault="00895BF3" w:rsidP="00895BF3">
            <w:r w:rsidRPr="00895BF3">
              <w:t>Es wird nicht an der Person gearbeitet,</w:t>
            </w:r>
          </w:p>
          <w:p w14:paraId="7D9D6F60" w14:textId="77777777" w:rsidR="00895BF3" w:rsidRPr="00895BF3" w:rsidRDefault="00895BF3" w:rsidP="00895BF3">
            <w:r w:rsidRPr="00895BF3">
              <w:t>sondern mit der Person. Durch eine Zusammenarbeit</w:t>
            </w:r>
          </w:p>
          <w:p w14:paraId="1BC69E41" w14:textId="77777777" w:rsidR="00895BF3" w:rsidRPr="00895BF3" w:rsidRDefault="00895BF3" w:rsidP="00895BF3">
            <w:r w:rsidRPr="00895BF3">
              <w:t>sollen Eigeninitiative</w:t>
            </w:r>
          </w:p>
          <w:p w14:paraId="54DE7B68" w14:textId="2DB1D824" w:rsidR="001B50A6" w:rsidRPr="009C4528" w:rsidRDefault="00895BF3" w:rsidP="00895BF3">
            <w:r w:rsidRPr="00895BF3">
              <w:t>und Ressourcen gefördert werden.</w:t>
            </w:r>
          </w:p>
        </w:tc>
        <w:tc>
          <w:tcPr>
            <w:tcW w:w="7371" w:type="dxa"/>
          </w:tcPr>
          <w:p w14:paraId="4F012EE5" w14:textId="1E1B4D3A" w:rsidR="00895BF3" w:rsidRPr="00895BF3" w:rsidRDefault="00895BF3" w:rsidP="00895BF3">
            <w:r w:rsidRPr="00895BF3">
              <w:t>Ihre Beobachtung ist wichtig, um die Potenziale eines Gastes mit Demenz zu erkennen. Eine Handlung,</w:t>
            </w:r>
            <w:r>
              <w:t xml:space="preserve"> </w:t>
            </w:r>
            <w:r w:rsidRPr="00895BF3">
              <w:t>die auf den 1. Blick eher sinnlos erscheint, kann für die Person selbst wichtig sein. So kann z. B. das</w:t>
            </w:r>
            <w:r>
              <w:t xml:space="preserve"> </w:t>
            </w:r>
            <w:r w:rsidRPr="00895BF3">
              <w:t>Wischen mit der Hand auf dem Tisch ein Hinweis darauf sein, mithelfen zu wollen. Mit einem Lappen</w:t>
            </w:r>
            <w:r>
              <w:t xml:space="preserve"> </w:t>
            </w:r>
            <w:r w:rsidRPr="00895BF3">
              <w:t>in der Hand wischt die Person vielleicht den Tisch ab, und Sie können sich aufrichtig bedanken. Lassen</w:t>
            </w:r>
            <w:r>
              <w:t xml:space="preserve"> </w:t>
            </w:r>
            <w:r w:rsidRPr="00895BF3">
              <w:t>Sie Eigeninitiative zu und geben Sie Anleitung nur dort, wo sie wirklich gebraucht wird.</w:t>
            </w:r>
          </w:p>
          <w:p w14:paraId="7B70E154" w14:textId="77777777" w:rsidR="00895BF3" w:rsidRPr="00895BF3" w:rsidRDefault="00895BF3" w:rsidP="00895BF3">
            <w:r w:rsidRPr="00895BF3">
              <w:rPr>
                <w:b/>
                <w:bCs/>
              </w:rPr>
              <w:t xml:space="preserve">Praktische Umsetzung: </w:t>
            </w:r>
            <w:r w:rsidRPr="00895BF3">
              <w:t>Geben Sie Ihrem Gast mit Demenz Zeit, Handlungen selbst durchzuführen.</w:t>
            </w:r>
          </w:p>
          <w:p w14:paraId="7631310D" w14:textId="43808FC7" w:rsidR="001B50A6" w:rsidRPr="009C4528" w:rsidRDefault="00895BF3" w:rsidP="00895BF3">
            <w:r w:rsidRPr="00895BF3">
              <w:t>Bieten Sie z. B. die Jacke an und lassen Sie Ihren Gast selbstständig hineinschlüpfen. Bitten Sie um</w:t>
            </w:r>
            <w:r>
              <w:t xml:space="preserve"> </w:t>
            </w:r>
            <w:r w:rsidRPr="00895BF3">
              <w:t>Hilfe bei Tätigkeiten. Beobachten Sie, ob Ihr Gast z. B. die Jacke selbst zuknöpfen kann.</w:t>
            </w:r>
          </w:p>
        </w:tc>
      </w:tr>
      <w:tr w:rsidR="001B50A6" w14:paraId="0DE34251" w14:textId="77777777" w:rsidTr="00743086">
        <w:trPr>
          <w:trHeight w:val="850"/>
        </w:trPr>
        <w:tc>
          <w:tcPr>
            <w:tcW w:w="2689" w:type="dxa"/>
          </w:tcPr>
          <w:p w14:paraId="737F0492" w14:textId="77777777" w:rsidR="005B244F" w:rsidRPr="005B244F" w:rsidRDefault="005B244F" w:rsidP="005B244F">
            <w:pPr>
              <w:rPr>
                <w:b/>
                <w:bCs/>
              </w:rPr>
            </w:pPr>
            <w:r w:rsidRPr="005B244F">
              <w:rPr>
                <w:b/>
                <w:bCs/>
              </w:rPr>
              <w:t xml:space="preserve">4. </w:t>
            </w:r>
            <w:proofErr w:type="spellStart"/>
            <w:r w:rsidRPr="005B244F">
              <w:rPr>
                <w:b/>
                <w:bCs/>
              </w:rPr>
              <w:t>Timalation</w:t>
            </w:r>
            <w:proofErr w:type="spellEnd"/>
          </w:p>
          <w:p w14:paraId="6ADF37B8" w14:textId="77777777" w:rsidR="005B244F" w:rsidRPr="005B244F" w:rsidRDefault="005B244F" w:rsidP="005B244F">
            <w:r w:rsidRPr="005B244F">
              <w:t>Der Begriff setzt sich zusammen aus dem</w:t>
            </w:r>
          </w:p>
          <w:p w14:paraId="38032794" w14:textId="45C16C39" w:rsidR="005B244F" w:rsidRPr="005B244F" w:rsidRDefault="005B244F" w:rsidP="005B244F">
            <w:r w:rsidRPr="005B244F">
              <w:t>griechischen „</w:t>
            </w:r>
            <w:proofErr w:type="spellStart"/>
            <w:r w:rsidRPr="005B244F">
              <w:t>timalao</w:t>
            </w:r>
            <w:proofErr w:type="spellEnd"/>
            <w:r w:rsidRPr="005B244F">
              <w:t>“ („Ich ehre dich.“)</w:t>
            </w:r>
            <w:r>
              <w:t xml:space="preserve"> </w:t>
            </w:r>
            <w:r w:rsidRPr="005B244F">
              <w:t>und dem lateinischen „</w:t>
            </w:r>
            <w:proofErr w:type="spellStart"/>
            <w:r w:rsidRPr="005B244F">
              <w:t>stimulatio</w:t>
            </w:r>
            <w:proofErr w:type="spellEnd"/>
            <w:r w:rsidRPr="005B244F">
              <w:t>“ (Anregung).</w:t>
            </w:r>
          </w:p>
          <w:p w14:paraId="1B6595EA" w14:textId="58154F5B" w:rsidR="005B244F" w:rsidRPr="005B244F" w:rsidRDefault="005B244F" w:rsidP="005B244F">
            <w:r w:rsidRPr="005B244F">
              <w:t>Die Methode wird häufig da eingesetzt,</w:t>
            </w:r>
            <w:r>
              <w:t xml:space="preserve"> </w:t>
            </w:r>
            <w:r w:rsidRPr="005B244F">
              <w:t>wo die verbale Kommunikation</w:t>
            </w:r>
            <w:r>
              <w:t xml:space="preserve"> </w:t>
            </w:r>
            <w:r w:rsidRPr="005B244F">
              <w:t>schwer möglich ist. Es geht um sinnesbezogene</w:t>
            </w:r>
          </w:p>
          <w:p w14:paraId="3CE1DCB5" w14:textId="5F230EED" w:rsidR="001B50A6" w:rsidRPr="00EE5D77" w:rsidRDefault="005B244F" w:rsidP="005B244F">
            <w:r w:rsidRPr="005B244F">
              <w:t>Wahrnehmungserfahrungen, die</w:t>
            </w:r>
            <w:r>
              <w:t xml:space="preserve"> </w:t>
            </w:r>
            <w:r w:rsidRPr="005B244F">
              <w:t>nur wenig kognitive Funktionen benötigen.</w:t>
            </w:r>
          </w:p>
        </w:tc>
        <w:tc>
          <w:tcPr>
            <w:tcW w:w="7371" w:type="dxa"/>
          </w:tcPr>
          <w:p w14:paraId="160D6FF6" w14:textId="39F49945" w:rsidR="005B244F" w:rsidRPr="005B244F" w:rsidRDefault="005B244F" w:rsidP="005B244F">
            <w:r w:rsidRPr="005B244F">
              <w:t xml:space="preserve">Häufig setzen Sie Angebote der </w:t>
            </w:r>
            <w:proofErr w:type="spellStart"/>
            <w:r w:rsidRPr="005B244F">
              <w:t>Timalation</w:t>
            </w:r>
            <w:proofErr w:type="spellEnd"/>
            <w:r w:rsidRPr="005B244F">
              <w:t xml:space="preserve"> bei Gästen mit fortgeschrittener Demenz ein. Sie bieten</w:t>
            </w:r>
            <w:r>
              <w:t xml:space="preserve"> </w:t>
            </w:r>
            <w:r w:rsidRPr="005B244F">
              <w:t>der Person angenehme Wahrnehmungsreize auf unterschiedlichen Sinneskanälen an (z. B. Hören, Riechen,</w:t>
            </w:r>
            <w:r>
              <w:t xml:space="preserve"> </w:t>
            </w:r>
            <w:r w:rsidRPr="005B244F">
              <w:t>Schmecken, Tasten). Sicherlich haben auch Sie die Erfahrung gemacht, dass sich auch Menschen</w:t>
            </w:r>
            <w:r>
              <w:t xml:space="preserve"> </w:t>
            </w:r>
            <w:r w:rsidRPr="005B244F">
              <w:t>am Anfang einer Demenz über Sinnesangebote freuen.</w:t>
            </w:r>
          </w:p>
          <w:p w14:paraId="3FDCCD8B" w14:textId="583E7FDB" w:rsidR="001B50A6" w:rsidRPr="00EE5D77" w:rsidRDefault="005B244F" w:rsidP="005B244F">
            <w:r w:rsidRPr="005B244F">
              <w:rPr>
                <w:b/>
                <w:bCs/>
              </w:rPr>
              <w:t xml:space="preserve">Praktische Umsetzung: </w:t>
            </w:r>
            <w:r w:rsidRPr="005B244F">
              <w:t>Über einen einfühlsamen Kontakt, der nicht überfordert, regen Sie die Sinne</w:t>
            </w:r>
            <w:r>
              <w:t xml:space="preserve"> </w:t>
            </w:r>
            <w:r w:rsidRPr="005B244F">
              <w:t>Ihres Gastes mit Demenz an. Alle Angebote der Basalen Stimulation gehören hier dazu: einfühlsame</w:t>
            </w:r>
            <w:r>
              <w:t xml:space="preserve"> </w:t>
            </w:r>
            <w:r w:rsidRPr="005B244F">
              <w:t>Sinnesangebote, wie z. B. eine Handmassage, Duftanregungen, musikalische Angebote.</w:t>
            </w:r>
          </w:p>
        </w:tc>
      </w:tr>
      <w:tr w:rsidR="001B50A6" w14:paraId="7D22A0D9" w14:textId="77777777" w:rsidTr="00743086">
        <w:trPr>
          <w:trHeight w:val="850"/>
        </w:trPr>
        <w:tc>
          <w:tcPr>
            <w:tcW w:w="2689" w:type="dxa"/>
          </w:tcPr>
          <w:p w14:paraId="6ADC0E68" w14:textId="77777777" w:rsidR="00A45EA5" w:rsidRPr="00A45EA5" w:rsidRDefault="00A45EA5" w:rsidP="00A45EA5">
            <w:pPr>
              <w:rPr>
                <w:b/>
                <w:bCs/>
              </w:rPr>
            </w:pPr>
            <w:r w:rsidRPr="00A45EA5">
              <w:rPr>
                <w:b/>
                <w:bCs/>
              </w:rPr>
              <w:t>5. Feste feiern</w:t>
            </w:r>
          </w:p>
          <w:p w14:paraId="17219CB3" w14:textId="77777777" w:rsidR="00A45EA5" w:rsidRPr="00A45EA5" w:rsidRDefault="00A45EA5" w:rsidP="00A45EA5">
            <w:r w:rsidRPr="00A45EA5">
              <w:t>In einer gemütlichen Atmosphäre mit</w:t>
            </w:r>
          </w:p>
          <w:p w14:paraId="7F854EAC" w14:textId="77777777" w:rsidR="00A45EA5" w:rsidRPr="00A45EA5" w:rsidRDefault="00A45EA5" w:rsidP="00A45EA5">
            <w:r w:rsidRPr="00A45EA5">
              <w:t>mehreren Menschen zusammen zu feiern,</w:t>
            </w:r>
          </w:p>
          <w:p w14:paraId="0FC05E4A" w14:textId="38281FE9" w:rsidR="001B50A6" w:rsidRPr="00EE5D77" w:rsidRDefault="00A45EA5" w:rsidP="00A45EA5">
            <w:r w:rsidRPr="00A45EA5">
              <w:t>bringt Zusammenhalt.</w:t>
            </w:r>
          </w:p>
        </w:tc>
        <w:tc>
          <w:tcPr>
            <w:tcW w:w="7371" w:type="dxa"/>
          </w:tcPr>
          <w:p w14:paraId="24EC6275" w14:textId="74014DEB" w:rsidR="00A45EA5" w:rsidRPr="00A45EA5" w:rsidRDefault="00A45EA5" w:rsidP="00A45EA5">
            <w:r w:rsidRPr="00A45EA5">
              <w:t>In Ihrer Tagespflege hat sich sicherlich schon regelhaft das Feiern von Festen etabliert. Damit stärken</w:t>
            </w:r>
            <w:r>
              <w:t xml:space="preserve"> </w:t>
            </w:r>
            <w:r w:rsidRPr="00A45EA5">
              <w:t xml:space="preserve">Sie nicht nur das </w:t>
            </w:r>
            <w:proofErr w:type="spellStart"/>
            <w:r w:rsidRPr="00A45EA5">
              <w:t>Personsein</w:t>
            </w:r>
            <w:proofErr w:type="spellEnd"/>
            <w:r w:rsidRPr="00A45EA5">
              <w:t xml:space="preserve"> Ihrer Gäste mit Demenz, sondern helfen auch dabei, Spannungen abzubauen.</w:t>
            </w:r>
            <w:r>
              <w:t xml:space="preserve"> </w:t>
            </w:r>
            <w:r w:rsidRPr="00A45EA5">
              <w:t>Denn gemeinsam feiern bringt Freude und Entspannung zugleich.</w:t>
            </w:r>
          </w:p>
          <w:p w14:paraId="61EDE591" w14:textId="5113CA7F" w:rsidR="001B50A6" w:rsidRPr="00034CE1" w:rsidRDefault="00A45EA5" w:rsidP="00A45EA5">
            <w:r w:rsidRPr="00A45EA5">
              <w:rPr>
                <w:b/>
                <w:bCs/>
              </w:rPr>
              <w:t xml:space="preserve">Praktische Umsetzung: </w:t>
            </w:r>
            <w:r w:rsidRPr="00A45EA5">
              <w:t>Allein schon ein hübsch gedeckter Tisch mit einer festlichen Dekoration und</w:t>
            </w:r>
            <w:r>
              <w:t xml:space="preserve"> </w:t>
            </w:r>
            <w:r w:rsidRPr="00A45EA5">
              <w:t>etwas Passendes zum Vorlesen bringen Ihre Gäste in Feierlaune. Und Anlässe gibt es genug: jahreszeitliche</w:t>
            </w:r>
            <w:r>
              <w:t xml:space="preserve"> </w:t>
            </w:r>
            <w:r w:rsidRPr="00A45EA5">
              <w:t>Feste, christliche Feste, sportliche Events, Jubiläen, Geburtstage etc.</w:t>
            </w:r>
          </w:p>
        </w:tc>
      </w:tr>
      <w:tr w:rsidR="001B50A6" w14:paraId="66AA8C6F" w14:textId="77777777" w:rsidTr="00743086">
        <w:trPr>
          <w:trHeight w:val="850"/>
        </w:trPr>
        <w:tc>
          <w:tcPr>
            <w:tcW w:w="2689" w:type="dxa"/>
          </w:tcPr>
          <w:p w14:paraId="2D1D0AB7" w14:textId="77777777" w:rsidR="00A45EA5" w:rsidRPr="00A45EA5" w:rsidRDefault="00A45EA5" w:rsidP="00A45EA5">
            <w:pPr>
              <w:rPr>
                <w:b/>
                <w:bCs/>
              </w:rPr>
            </w:pPr>
            <w:r w:rsidRPr="00A45EA5">
              <w:rPr>
                <w:b/>
                <w:bCs/>
              </w:rPr>
              <w:t>6. Entspannung</w:t>
            </w:r>
          </w:p>
          <w:p w14:paraId="54698EC8" w14:textId="23FE22F2" w:rsidR="001B50A6" w:rsidRPr="00F67CD6" w:rsidRDefault="00A45EA5" w:rsidP="00A45EA5">
            <w:r w:rsidRPr="00A45EA5">
              <w:t>Einfach mal nichts tun, sich zurückziehen</w:t>
            </w:r>
            <w:r>
              <w:t xml:space="preserve"> </w:t>
            </w:r>
            <w:r w:rsidRPr="00A45EA5">
              <w:t>können und entspannen.</w:t>
            </w:r>
          </w:p>
        </w:tc>
        <w:tc>
          <w:tcPr>
            <w:tcW w:w="7371" w:type="dxa"/>
          </w:tcPr>
          <w:p w14:paraId="3F2F7DCC" w14:textId="5A49BB3A" w:rsidR="00434CE9" w:rsidRPr="00434CE9" w:rsidRDefault="00434CE9" w:rsidP="00434CE9">
            <w:r w:rsidRPr="00434CE9">
              <w:t>Häufig sind Menschen mit Demenz angespannt und ängstlich. Die Nähe durch vertraute Personen</w:t>
            </w:r>
            <w:r>
              <w:t xml:space="preserve"> </w:t>
            </w:r>
            <w:r w:rsidRPr="00434CE9">
              <w:t>kann hier unterstützen. Manchmal kann aber auch ein Rückzug die Entspannung fördern. Wohldosierte</w:t>
            </w:r>
            <w:r>
              <w:t xml:space="preserve"> </w:t>
            </w:r>
            <w:r w:rsidRPr="00434CE9">
              <w:t>Pausen bieten die Möglichkeit der Regeneration.</w:t>
            </w:r>
          </w:p>
          <w:p w14:paraId="70977023" w14:textId="00B79902" w:rsidR="001B50A6" w:rsidRPr="00F67CD6" w:rsidRDefault="00434CE9" w:rsidP="00434CE9">
            <w:r w:rsidRPr="00434CE9">
              <w:rPr>
                <w:b/>
                <w:bCs/>
              </w:rPr>
              <w:t xml:space="preserve">Praktische Umsetzung: </w:t>
            </w:r>
            <w:r w:rsidRPr="00434CE9">
              <w:t>Im Tagesablauf hat es sich sicherlich auch in Ihrer Tagespflege bewährt, regelmäßig</w:t>
            </w:r>
            <w:r>
              <w:t xml:space="preserve"> </w:t>
            </w:r>
            <w:r w:rsidRPr="00434CE9">
              <w:t xml:space="preserve">die Möglichkeit einer Entspannung zu geben. Eingekuschelt in eine Decke auf </w:t>
            </w:r>
            <w:r w:rsidRPr="00434CE9">
              <w:lastRenderedPageBreak/>
              <w:t>einem bequemen</w:t>
            </w:r>
            <w:r>
              <w:t xml:space="preserve"> </w:t>
            </w:r>
            <w:r w:rsidRPr="00434CE9">
              <w:t>Stuhl, kann z. B. in der Mittagspause entspannt und neue Kraft getankt werden.</w:t>
            </w:r>
          </w:p>
        </w:tc>
      </w:tr>
      <w:tr w:rsidR="001B50A6" w14:paraId="6D9D8685" w14:textId="77777777" w:rsidTr="00743086">
        <w:trPr>
          <w:trHeight w:val="850"/>
        </w:trPr>
        <w:tc>
          <w:tcPr>
            <w:tcW w:w="2689" w:type="dxa"/>
          </w:tcPr>
          <w:p w14:paraId="319D3087" w14:textId="77777777" w:rsidR="00434CE9" w:rsidRPr="00434CE9" w:rsidRDefault="00434CE9" w:rsidP="00434CE9">
            <w:pPr>
              <w:rPr>
                <w:b/>
                <w:bCs/>
              </w:rPr>
            </w:pPr>
            <w:r w:rsidRPr="00434CE9">
              <w:rPr>
                <w:b/>
                <w:bCs/>
              </w:rPr>
              <w:lastRenderedPageBreak/>
              <w:t>7. Halt</w:t>
            </w:r>
          </w:p>
          <w:p w14:paraId="4C38B44E" w14:textId="22E3693E" w:rsidR="00434CE9" w:rsidRPr="00434CE9" w:rsidRDefault="00434CE9" w:rsidP="00434CE9">
            <w:r w:rsidRPr="00434CE9">
              <w:t>Ein Halt in der Umgebung (vertraute</w:t>
            </w:r>
            <w:r>
              <w:t xml:space="preserve"> </w:t>
            </w:r>
            <w:r w:rsidRPr="00434CE9">
              <w:t>Menschen, überschaubares Wohnumfeld,</w:t>
            </w:r>
            <w:r>
              <w:t xml:space="preserve"> </w:t>
            </w:r>
            <w:r w:rsidRPr="00434CE9">
              <w:t>vertraute Geräusche, Gerüche etc.)</w:t>
            </w:r>
          </w:p>
          <w:p w14:paraId="1DCC5020" w14:textId="366A03D5" w:rsidR="001B50A6" w:rsidRPr="00F67CD6" w:rsidRDefault="00434CE9" w:rsidP="00434CE9">
            <w:r w:rsidRPr="00434CE9">
              <w:t>bietet Menschen mit Demenz Sicherheit.</w:t>
            </w:r>
          </w:p>
        </w:tc>
        <w:tc>
          <w:tcPr>
            <w:tcW w:w="7371" w:type="dxa"/>
          </w:tcPr>
          <w:p w14:paraId="31BA6A77" w14:textId="7A5040D7" w:rsidR="00090AD2" w:rsidRPr="00090AD2" w:rsidRDefault="00090AD2" w:rsidP="00090AD2">
            <w:r w:rsidRPr="00090AD2">
              <w:t>Halt bietet Ihren Gästen mit Demenz Unterstützung und Sicherheit. Zeigen Gäste mit Demenz aufwühlende</w:t>
            </w:r>
            <w:r>
              <w:t xml:space="preserve"> </w:t>
            </w:r>
            <w:r w:rsidRPr="00090AD2">
              <w:t>Gefühle und Reaktionen, begleiten Sie wie gewohnt einfühlsam. Mit Ihnen an der Seite können</w:t>
            </w:r>
            <w:r>
              <w:t xml:space="preserve"> </w:t>
            </w:r>
            <w:r w:rsidRPr="00090AD2">
              <w:t>Ihre Gäste Halt spüren.</w:t>
            </w:r>
          </w:p>
          <w:p w14:paraId="5C3637B2" w14:textId="546F6988" w:rsidR="00090AD2" w:rsidRPr="00090AD2" w:rsidRDefault="00090AD2" w:rsidP="00090AD2">
            <w:r w:rsidRPr="00090AD2">
              <w:rPr>
                <w:b/>
                <w:bCs/>
              </w:rPr>
              <w:t xml:space="preserve">Praktische Umsetzung: </w:t>
            </w:r>
            <w:r w:rsidRPr="00090AD2">
              <w:t>Sie können über Worte oder Gesten zeigen, dass Sie da sind und das Erleben</w:t>
            </w:r>
            <w:r>
              <w:t xml:space="preserve"> </w:t>
            </w:r>
            <w:r w:rsidRPr="00090AD2">
              <w:t>wahrnehmen. Spüren Sie nach, ob eine einfühlsame Berührung zusätzlich Halt geben kann. Rituale</w:t>
            </w:r>
            <w:r>
              <w:t xml:space="preserve"> </w:t>
            </w:r>
            <w:r w:rsidRPr="00090AD2">
              <w:t>(Anfangs- und Abschlussrituale), der feste Sitzplatz, das Eindecken des Sitzplatzes mit vertrauten</w:t>
            </w:r>
          </w:p>
          <w:p w14:paraId="422A8AD4" w14:textId="141C6D34" w:rsidR="001B50A6" w:rsidRPr="00F67CD6" w:rsidRDefault="00090AD2" w:rsidP="00090AD2">
            <w:r w:rsidRPr="00090AD2">
              <w:t>Gegenständen (z. B. Tischset mit Namen und Lieblingsbildern), vertraute Tagesabläufe in Ihrer Tagespflege</w:t>
            </w:r>
            <w:r>
              <w:t xml:space="preserve"> </w:t>
            </w:r>
            <w:r w:rsidRPr="00090AD2">
              <w:t>können Ihrem Gast mit Demenz Sicherheit und Halt bieten.</w:t>
            </w:r>
          </w:p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4AB"/>
    <w:multiLevelType w:val="hybridMultilevel"/>
    <w:tmpl w:val="91B688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7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01390D"/>
    <w:rsid w:val="00034CE1"/>
    <w:rsid w:val="00090AD2"/>
    <w:rsid w:val="00091B26"/>
    <w:rsid w:val="000C19C7"/>
    <w:rsid w:val="000E2430"/>
    <w:rsid w:val="000E4D3A"/>
    <w:rsid w:val="001244FE"/>
    <w:rsid w:val="001633EE"/>
    <w:rsid w:val="001833F0"/>
    <w:rsid w:val="001B50A6"/>
    <w:rsid w:val="001C77D9"/>
    <w:rsid w:val="001D1B49"/>
    <w:rsid w:val="001D2F1E"/>
    <w:rsid w:val="001F0088"/>
    <w:rsid w:val="00275969"/>
    <w:rsid w:val="00281EF3"/>
    <w:rsid w:val="00284ADA"/>
    <w:rsid w:val="00296C25"/>
    <w:rsid w:val="002A0726"/>
    <w:rsid w:val="002B1C14"/>
    <w:rsid w:val="002E0352"/>
    <w:rsid w:val="003369D7"/>
    <w:rsid w:val="00364461"/>
    <w:rsid w:val="00434CE9"/>
    <w:rsid w:val="0044459E"/>
    <w:rsid w:val="00454A47"/>
    <w:rsid w:val="0048281D"/>
    <w:rsid w:val="004E12B8"/>
    <w:rsid w:val="005139D9"/>
    <w:rsid w:val="00585600"/>
    <w:rsid w:val="005B244F"/>
    <w:rsid w:val="005E065B"/>
    <w:rsid w:val="005E204A"/>
    <w:rsid w:val="00626A00"/>
    <w:rsid w:val="006350DF"/>
    <w:rsid w:val="00635C1E"/>
    <w:rsid w:val="006430BD"/>
    <w:rsid w:val="006512DE"/>
    <w:rsid w:val="006E6C54"/>
    <w:rsid w:val="007138E8"/>
    <w:rsid w:val="00713C3C"/>
    <w:rsid w:val="00743086"/>
    <w:rsid w:val="0075023C"/>
    <w:rsid w:val="00790409"/>
    <w:rsid w:val="00792794"/>
    <w:rsid w:val="007944B4"/>
    <w:rsid w:val="007A4343"/>
    <w:rsid w:val="007B047B"/>
    <w:rsid w:val="00815980"/>
    <w:rsid w:val="00895BF3"/>
    <w:rsid w:val="008B7C1A"/>
    <w:rsid w:val="009262D4"/>
    <w:rsid w:val="00940908"/>
    <w:rsid w:val="00941651"/>
    <w:rsid w:val="00945C75"/>
    <w:rsid w:val="00945DC8"/>
    <w:rsid w:val="00947F3E"/>
    <w:rsid w:val="0096485A"/>
    <w:rsid w:val="009C4528"/>
    <w:rsid w:val="009D3A29"/>
    <w:rsid w:val="009E5DFB"/>
    <w:rsid w:val="00A10B26"/>
    <w:rsid w:val="00A45EA5"/>
    <w:rsid w:val="00A57442"/>
    <w:rsid w:val="00AB039D"/>
    <w:rsid w:val="00AC5539"/>
    <w:rsid w:val="00AD4B7C"/>
    <w:rsid w:val="00B110ED"/>
    <w:rsid w:val="00B1194D"/>
    <w:rsid w:val="00B34EA3"/>
    <w:rsid w:val="00B67AAD"/>
    <w:rsid w:val="00BB4DB8"/>
    <w:rsid w:val="00BE46CE"/>
    <w:rsid w:val="00C122C9"/>
    <w:rsid w:val="00C55AB6"/>
    <w:rsid w:val="00C74280"/>
    <w:rsid w:val="00CF02E1"/>
    <w:rsid w:val="00D00EA4"/>
    <w:rsid w:val="00D13F60"/>
    <w:rsid w:val="00D55CA0"/>
    <w:rsid w:val="00D72939"/>
    <w:rsid w:val="00DA4BE2"/>
    <w:rsid w:val="00DE75E3"/>
    <w:rsid w:val="00DF5CE7"/>
    <w:rsid w:val="00E03CFD"/>
    <w:rsid w:val="00E40C25"/>
    <w:rsid w:val="00ED6185"/>
    <w:rsid w:val="00EE5D77"/>
    <w:rsid w:val="00F2785B"/>
    <w:rsid w:val="00F6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36739DDE-2385-4486-96D6-8F98CA7BD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A8CC9-001F-495D-AB69-76CC954F7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BE147D-A154-405D-9696-A73C91EF2E94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5319</Characters>
  <Application>Microsoft Office Word</Application>
  <DocSecurity>4</DocSecurity>
  <Lines>44</Lines>
  <Paragraphs>12</Paragraphs>
  <ScaleCrop>false</ScaleCrop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2025-10-08T07:39:00Z</dcterms:created>
  <dcterms:modified xsi:type="dcterms:W3CDTF">2025-10-08T07:39:00Z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