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160AC940">
                <wp:simplePos x="0" y="0"/>
                <wp:positionH relativeFrom="column">
                  <wp:posOffset>4853305</wp:posOffset>
                </wp:positionH>
                <wp:positionV relativeFrom="paragraph">
                  <wp:posOffset>1176655</wp:posOffset>
                </wp:positionV>
                <wp:extent cx="1685925" cy="4572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C22C958" w:rsidR="0075023C" w:rsidRPr="0075023C" w:rsidRDefault="00B119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2.65pt;width:13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5C22C958" w:rsidR="0075023C" w:rsidRPr="0075023C" w:rsidRDefault="00B1194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725"/>
        <w:gridCol w:w="7335"/>
      </w:tblGrid>
      <w:tr w:rsidR="00B110ED" w14:paraId="037B22FE" w14:textId="3A4C4658" w:rsidTr="001B50A6">
        <w:trPr>
          <w:trHeight w:val="385"/>
        </w:trPr>
        <w:tc>
          <w:tcPr>
            <w:tcW w:w="10060" w:type="dxa"/>
            <w:gridSpan w:val="2"/>
            <w:shd w:val="clear" w:color="auto" w:fill="F1A983" w:themeFill="accent2" w:themeFillTint="99"/>
          </w:tcPr>
          <w:p w14:paraId="1B336CB9" w14:textId="3F2D1D17" w:rsidR="00B110ED" w:rsidRPr="00B110ED" w:rsidRDefault="001B50A6" w:rsidP="001B50A6">
            <w:pPr>
              <w:jc w:val="center"/>
              <w:rPr>
                <w:b/>
                <w:bCs/>
                <w:sz w:val="32"/>
                <w:szCs w:val="32"/>
              </w:rPr>
            </w:pPr>
            <w:r w:rsidRPr="001B50A6">
              <w:rPr>
                <w:b/>
                <w:bCs/>
                <w:sz w:val="32"/>
                <w:szCs w:val="32"/>
              </w:rPr>
              <w:t xml:space="preserve">ÜBERSICHT: </w:t>
            </w:r>
            <w:r w:rsidR="003C4007" w:rsidRPr="003C4007">
              <w:rPr>
                <w:b/>
                <w:bCs/>
                <w:sz w:val="32"/>
                <w:szCs w:val="32"/>
              </w:rPr>
              <w:t xml:space="preserve">Fachliche Einschätzung der Beziehungsbedarfe – praxisnah und </w:t>
            </w:r>
            <w:proofErr w:type="spellStart"/>
            <w:r w:rsidR="003C4007" w:rsidRPr="003C4007">
              <w:rPr>
                <w:b/>
                <w:bCs/>
                <w:sz w:val="32"/>
                <w:szCs w:val="32"/>
              </w:rPr>
              <w:t>kriteriell</w:t>
            </w:r>
            <w:proofErr w:type="spellEnd"/>
            <w:r w:rsidR="003C4007" w:rsidRPr="003C4007">
              <w:rPr>
                <w:b/>
                <w:bCs/>
                <w:sz w:val="32"/>
                <w:szCs w:val="32"/>
              </w:rPr>
              <w:t xml:space="preserve"> gestützt</w:t>
            </w:r>
          </w:p>
        </w:tc>
      </w:tr>
      <w:tr w:rsidR="001B50A6" w14:paraId="1FD39C61" w14:textId="1F46ECA3" w:rsidTr="004A1446">
        <w:trPr>
          <w:trHeight w:val="641"/>
        </w:trPr>
        <w:tc>
          <w:tcPr>
            <w:tcW w:w="2725" w:type="dxa"/>
            <w:shd w:val="clear" w:color="auto" w:fill="FAE2D5"/>
          </w:tcPr>
          <w:p w14:paraId="4F76E8F3" w14:textId="3DF55638" w:rsidR="001B50A6" w:rsidRPr="006512DE" w:rsidRDefault="00485BC1" w:rsidP="00743086">
            <w:r w:rsidRPr="00485BC1">
              <w:rPr>
                <w:b/>
                <w:bCs/>
              </w:rPr>
              <w:t>Kriterium</w:t>
            </w:r>
          </w:p>
        </w:tc>
        <w:tc>
          <w:tcPr>
            <w:tcW w:w="7335" w:type="dxa"/>
            <w:shd w:val="clear" w:color="auto" w:fill="FAE2D5"/>
          </w:tcPr>
          <w:p w14:paraId="1E813422" w14:textId="57A17CE9" w:rsidR="001B50A6" w:rsidRPr="00790409" w:rsidRDefault="009E6192" w:rsidP="00D00EA4">
            <w:r w:rsidRPr="009E6192">
              <w:rPr>
                <w:b/>
                <w:bCs/>
              </w:rPr>
              <w:t>Das ist gemeint</w:t>
            </w:r>
          </w:p>
        </w:tc>
      </w:tr>
      <w:tr w:rsidR="001B50A6" w14:paraId="35A7FF7A" w14:textId="2097A996" w:rsidTr="004A1446">
        <w:trPr>
          <w:trHeight w:val="2406"/>
        </w:trPr>
        <w:tc>
          <w:tcPr>
            <w:tcW w:w="2725" w:type="dxa"/>
          </w:tcPr>
          <w:p w14:paraId="0655E62E" w14:textId="77777777" w:rsidR="009E6192" w:rsidRPr="009E6192" w:rsidRDefault="009E6192" w:rsidP="009E6192">
            <w:pPr>
              <w:rPr>
                <w:b/>
                <w:bCs/>
              </w:rPr>
            </w:pPr>
            <w:r w:rsidRPr="009E6192">
              <w:rPr>
                <w:b/>
                <w:bCs/>
              </w:rPr>
              <w:t>Komplexe</w:t>
            </w:r>
          </w:p>
          <w:p w14:paraId="75F4740A" w14:textId="286C29A3" w:rsidR="001B50A6" w:rsidRPr="00945C75" w:rsidRDefault="009E6192" w:rsidP="009E6192">
            <w:r w:rsidRPr="009E6192">
              <w:rPr>
                <w:b/>
                <w:bCs/>
              </w:rPr>
              <w:t>Aufmerksamkeit</w:t>
            </w:r>
          </w:p>
        </w:tc>
        <w:tc>
          <w:tcPr>
            <w:tcW w:w="7335" w:type="dxa"/>
          </w:tcPr>
          <w:p w14:paraId="7E6D7BDC" w14:textId="77777777" w:rsidR="009E6192" w:rsidRPr="009E6192" w:rsidRDefault="009E6192" w:rsidP="009E6192">
            <w:r w:rsidRPr="009E6192">
              <w:t>Hier soll die Art der Aufmerksamkeit Ihres Pflegekunden beobachtet werden, z. B.: Ist diese kontinuierlich, geteilt,</w:t>
            </w:r>
          </w:p>
          <w:p w14:paraId="4935AFF7" w14:textId="77777777" w:rsidR="009E6192" w:rsidRPr="009E6192" w:rsidRDefault="009E6192" w:rsidP="009E6192">
            <w:r w:rsidRPr="009E6192">
              <w:t>selektiv, wie intensiv oder wie schnell ist die Auffassungsgabe? Lassen sich Veränderungen oder Probleme feststellen,</w:t>
            </w:r>
          </w:p>
          <w:p w14:paraId="2BAC791D" w14:textId="77777777" w:rsidR="009E6192" w:rsidRPr="009E6192" w:rsidRDefault="009E6192" w:rsidP="009E6192">
            <w:r w:rsidRPr="009E6192">
              <w:t>können dies Hinweise auf kognitive Einbußen sein. Es ergibt sich möglicherweise ein Bedarf an angepasster Gestaltung</w:t>
            </w:r>
          </w:p>
          <w:p w14:paraId="12AF13F9" w14:textId="77777777" w:rsidR="009E6192" w:rsidRPr="009E6192" w:rsidRDefault="009E6192" w:rsidP="009E6192">
            <w:r w:rsidRPr="009E6192">
              <w:t>der Kommunikation, z. B. ruhige Umgebung oder einfache Sätze. Weitere Hinweise auf Beziehungsbedarfe</w:t>
            </w:r>
          </w:p>
          <w:p w14:paraId="619DE10A" w14:textId="77777777" w:rsidR="009E6192" w:rsidRPr="009E6192" w:rsidRDefault="009E6192" w:rsidP="009E6192">
            <w:r w:rsidRPr="009E6192">
              <w:t>sind z. B., wenn Ihr Pflegekunde sich nicht für sein Gegenüber interessiert oder sich aus Interaktionen mit anderen</w:t>
            </w:r>
          </w:p>
          <w:p w14:paraId="3E148E68" w14:textId="00CF3592" w:rsidR="001B50A6" w:rsidRPr="00945C75" w:rsidRDefault="009E6192" w:rsidP="009E6192">
            <w:r w:rsidRPr="009E6192">
              <w:t>herauszieht.</w:t>
            </w:r>
          </w:p>
        </w:tc>
      </w:tr>
      <w:tr w:rsidR="001B50A6" w14:paraId="2F8200AE" w14:textId="77777777" w:rsidTr="004A1446">
        <w:trPr>
          <w:trHeight w:val="3257"/>
        </w:trPr>
        <w:tc>
          <w:tcPr>
            <w:tcW w:w="2725" w:type="dxa"/>
          </w:tcPr>
          <w:p w14:paraId="0CB7C8E5" w14:textId="77777777" w:rsidR="009E6192" w:rsidRPr="009E6192" w:rsidRDefault="009E6192" w:rsidP="009E6192">
            <w:pPr>
              <w:rPr>
                <w:b/>
                <w:bCs/>
              </w:rPr>
            </w:pPr>
            <w:r w:rsidRPr="009E6192">
              <w:rPr>
                <w:b/>
                <w:bCs/>
              </w:rPr>
              <w:t>Exekutive</w:t>
            </w:r>
          </w:p>
          <w:p w14:paraId="4E1EB597" w14:textId="01A2A82D" w:rsidR="001B50A6" w:rsidRPr="009C4528" w:rsidRDefault="009E6192" w:rsidP="009E6192">
            <w:r w:rsidRPr="009E6192">
              <w:rPr>
                <w:b/>
                <w:bCs/>
              </w:rPr>
              <w:t>Funktionen</w:t>
            </w:r>
          </w:p>
        </w:tc>
        <w:tc>
          <w:tcPr>
            <w:tcW w:w="7335" w:type="dxa"/>
          </w:tcPr>
          <w:p w14:paraId="27A9481C" w14:textId="77777777" w:rsidR="009E6192" w:rsidRPr="009E6192" w:rsidRDefault="009E6192" w:rsidP="009E6192">
            <w:r w:rsidRPr="009E6192">
              <w:t>Dieser Bereich bezieht sich z. B. auf das Planen und Entscheiden, das Reagieren auf Feedback, das Korrigieren von</w:t>
            </w:r>
          </w:p>
          <w:p w14:paraId="244032E4" w14:textId="77777777" w:rsidR="009E6192" w:rsidRPr="009E6192" w:rsidRDefault="009E6192" w:rsidP="009E6192">
            <w:r w:rsidRPr="009E6192">
              <w:t>Fehlern, Verändern von Handlungsroutinen. Hinweise auf kognitive Einbußen zeigen sich dann, wenn z. B. Alltagsprobleme</w:t>
            </w:r>
          </w:p>
          <w:p w14:paraId="4DED0AB3" w14:textId="77777777" w:rsidR="009E6192" w:rsidRPr="009E6192" w:rsidRDefault="009E6192" w:rsidP="009E6192">
            <w:r w:rsidRPr="009E6192">
              <w:t>mit Blick auf die Planung von Handlungsabläufen nicht mehr allein bewältigt werden können. Beziehungsbedarfe</w:t>
            </w:r>
          </w:p>
          <w:p w14:paraId="19C065DF" w14:textId="77777777" w:rsidR="009E6192" w:rsidRPr="009E6192" w:rsidRDefault="009E6192" w:rsidP="009E6192">
            <w:r w:rsidRPr="009E6192">
              <w:t>ergeben sich u. a. daraus, dass Ihr Pflegekunde die Inhalte versteht, Entscheidungen treffen und Aufgaben</w:t>
            </w:r>
          </w:p>
          <w:p w14:paraId="0510E49F" w14:textId="77777777" w:rsidR="009E6192" w:rsidRPr="009E6192" w:rsidRDefault="009E6192" w:rsidP="009E6192">
            <w:r w:rsidRPr="009E6192">
              <w:t xml:space="preserve">selbstständig ausführen kann, z. B.: </w:t>
            </w:r>
            <w:proofErr w:type="gramStart"/>
            <w:r w:rsidRPr="009E6192">
              <w:t>Mittags</w:t>
            </w:r>
            <w:proofErr w:type="gramEnd"/>
            <w:r w:rsidRPr="009E6192">
              <w:t xml:space="preserve"> soll es Eintopf geben, dazu muss Verschiedenes eingekauft werden. Auch</w:t>
            </w:r>
          </w:p>
          <w:p w14:paraId="0B293DB9" w14:textId="741F5B9C" w:rsidR="001B50A6" w:rsidRPr="009C4528" w:rsidRDefault="009E6192" w:rsidP="009E6192">
            <w:r w:rsidRPr="009E6192">
              <w:t>zählt dazu, ob Ihr Pflegekunde dies mitteilen kann und zeigt, dass er versteht, was der andere zu ihm sagt.</w:t>
            </w:r>
          </w:p>
        </w:tc>
      </w:tr>
      <w:tr w:rsidR="001B50A6" w14:paraId="514BBBD1" w14:textId="77777777" w:rsidTr="004A1446">
        <w:trPr>
          <w:trHeight w:val="425"/>
        </w:trPr>
        <w:tc>
          <w:tcPr>
            <w:tcW w:w="2725" w:type="dxa"/>
          </w:tcPr>
          <w:p w14:paraId="004AEF22" w14:textId="77777777" w:rsidR="009E6192" w:rsidRPr="009E6192" w:rsidRDefault="009E6192" w:rsidP="009E6192">
            <w:pPr>
              <w:rPr>
                <w:b/>
                <w:bCs/>
              </w:rPr>
            </w:pPr>
            <w:r w:rsidRPr="009E6192">
              <w:rPr>
                <w:b/>
                <w:bCs/>
              </w:rPr>
              <w:t>Lernen und</w:t>
            </w:r>
          </w:p>
          <w:p w14:paraId="54DE7B68" w14:textId="55C49490" w:rsidR="001B50A6" w:rsidRPr="009C4528" w:rsidRDefault="009E6192" w:rsidP="009E6192">
            <w:r w:rsidRPr="009E6192">
              <w:rPr>
                <w:b/>
                <w:bCs/>
              </w:rPr>
              <w:t>Gedächtnis</w:t>
            </w:r>
          </w:p>
        </w:tc>
        <w:tc>
          <w:tcPr>
            <w:tcW w:w="7335" w:type="dxa"/>
          </w:tcPr>
          <w:p w14:paraId="290145CC" w14:textId="77777777" w:rsidR="009E6192" w:rsidRPr="009E6192" w:rsidRDefault="009E6192" w:rsidP="009E6192">
            <w:r w:rsidRPr="009E6192">
              <w:t>Hier geht es darum, wie Ihr Pflegekunde sich an seine Gegenwart oder kurz zurückliegende Ereignisse erinnert und</w:t>
            </w:r>
          </w:p>
          <w:p w14:paraId="30DF7EAC" w14:textId="77777777" w:rsidR="009E6192" w:rsidRPr="009E6192" w:rsidRDefault="009E6192" w:rsidP="009E6192">
            <w:r w:rsidRPr="009E6192">
              <w:t>wie sein Langzeitgedächtnis ausgeprägt ist. Erste Hinweise auf kognitive Einschränkungen finden sich dann, wenn</w:t>
            </w:r>
          </w:p>
          <w:p w14:paraId="090B64FA" w14:textId="77777777" w:rsidR="009E6192" w:rsidRPr="009E6192" w:rsidRDefault="009E6192" w:rsidP="009E6192">
            <w:r w:rsidRPr="009E6192">
              <w:t>Ihr Pflegekunde mehr als gelegentlich an Vorhaben oder Sachverhalte erinnert werden muss oder wenn er vermehrt</w:t>
            </w:r>
          </w:p>
          <w:p w14:paraId="104CB903" w14:textId="5DE02320" w:rsidR="009E6192" w:rsidRPr="009E6192" w:rsidRDefault="009E6192" w:rsidP="009E6192">
            <w:pPr>
              <w:rPr>
                <w:i/>
                <w:iCs/>
              </w:rPr>
            </w:pPr>
            <w:r w:rsidRPr="009E6192">
              <w:t>Gedächtnisstützen wie z. B. Klebezettel nutzt. Beziehungsbedarfe werden deutlich, wenn jemand da sein muss, der</w:t>
            </w:r>
            <w:r>
              <w:t xml:space="preserve"> </w:t>
            </w:r>
            <w:r w:rsidRPr="009E6192">
              <w:t xml:space="preserve">Erinnerungen mit weiterführenden Hinweisen verbinden muss, z. B.: </w:t>
            </w:r>
            <w:r w:rsidRPr="009E6192">
              <w:rPr>
                <w:i/>
                <w:iCs/>
              </w:rPr>
              <w:t>„Du wolltest doch den Pullover anziehen, der liegt</w:t>
            </w:r>
          </w:p>
          <w:p w14:paraId="7631310D" w14:textId="6A626F92" w:rsidR="001B50A6" w:rsidRPr="009C4528" w:rsidRDefault="009E6192" w:rsidP="009E6192">
            <w:r w:rsidRPr="009E6192">
              <w:rPr>
                <w:i/>
                <w:iCs/>
              </w:rPr>
              <w:t>noch im Kleiderschrank.“</w:t>
            </w:r>
          </w:p>
        </w:tc>
      </w:tr>
      <w:tr w:rsidR="001B50A6" w14:paraId="0DE34251" w14:textId="77777777" w:rsidTr="004A1446">
        <w:trPr>
          <w:trHeight w:val="850"/>
        </w:trPr>
        <w:tc>
          <w:tcPr>
            <w:tcW w:w="2725" w:type="dxa"/>
          </w:tcPr>
          <w:p w14:paraId="3CE1DCB5" w14:textId="6114E9F3" w:rsidR="001B50A6" w:rsidRPr="00EE5D77" w:rsidRDefault="009E6192" w:rsidP="005B244F">
            <w:r w:rsidRPr="009E6192">
              <w:rPr>
                <w:b/>
                <w:bCs/>
              </w:rPr>
              <w:lastRenderedPageBreak/>
              <w:t>Sprache</w:t>
            </w:r>
          </w:p>
        </w:tc>
        <w:tc>
          <w:tcPr>
            <w:tcW w:w="7335" w:type="dxa"/>
          </w:tcPr>
          <w:p w14:paraId="3FDCCD8B" w14:textId="4955C680" w:rsidR="001B50A6" w:rsidRPr="00EE5D77" w:rsidRDefault="003006DE" w:rsidP="003006DE">
            <w:r w:rsidRPr="003006DE">
              <w:t>Hier geht es um den sprachlichen Ausdruck, die richtigen Worte finden, Dinge richtig bezeichnen, Satzaufbau und</w:t>
            </w:r>
            <w:r>
              <w:t xml:space="preserve"> </w:t>
            </w:r>
            <w:r w:rsidRPr="003006DE">
              <w:t>Grammatik handhaben und flüssig sprechen können. Gibt es hier Veränderungen oder Störungen, sind das Hinweise</w:t>
            </w:r>
            <w:r>
              <w:t xml:space="preserve"> </w:t>
            </w:r>
            <w:r w:rsidRPr="003006DE">
              <w:t>auf kognitive Einbußen. Beziehungsbedarfe werden deutlich, wenn Ihr Pflegekunde Hilfestellung beim Sich-Ausdrücken</w:t>
            </w:r>
            <w:r>
              <w:t xml:space="preserve"> </w:t>
            </w:r>
            <w:r w:rsidRPr="003006DE">
              <w:t xml:space="preserve">benötigt, undeutlich oder repetierend vor sich </w:t>
            </w:r>
            <w:proofErr w:type="gramStart"/>
            <w:r w:rsidRPr="003006DE">
              <w:t>hin spricht</w:t>
            </w:r>
            <w:proofErr w:type="gramEnd"/>
            <w:r w:rsidRPr="003006DE">
              <w:t xml:space="preserve"> oder auf den emotionalen Inhalt des Gesagten wenig</w:t>
            </w:r>
            <w:r>
              <w:t xml:space="preserve"> </w:t>
            </w:r>
            <w:r w:rsidRPr="003006DE">
              <w:t>oder gar nicht reagiert.</w:t>
            </w:r>
          </w:p>
        </w:tc>
      </w:tr>
      <w:tr w:rsidR="001B50A6" w14:paraId="7D22A0D9" w14:textId="77777777" w:rsidTr="004A1446">
        <w:trPr>
          <w:trHeight w:val="850"/>
        </w:trPr>
        <w:tc>
          <w:tcPr>
            <w:tcW w:w="2725" w:type="dxa"/>
          </w:tcPr>
          <w:p w14:paraId="746C520D" w14:textId="77777777" w:rsidR="003006DE" w:rsidRPr="003006DE" w:rsidRDefault="003006DE" w:rsidP="003006DE">
            <w:pPr>
              <w:rPr>
                <w:b/>
                <w:bCs/>
              </w:rPr>
            </w:pPr>
            <w:proofErr w:type="spellStart"/>
            <w:r w:rsidRPr="003006DE">
              <w:rPr>
                <w:b/>
                <w:bCs/>
              </w:rPr>
              <w:t>Perzeptuellmotorische</w:t>
            </w:r>
            <w:proofErr w:type="spellEnd"/>
          </w:p>
          <w:p w14:paraId="0FC05E4A" w14:textId="7A94A77E" w:rsidR="001B50A6" w:rsidRPr="00EE5D77" w:rsidRDefault="003006DE" w:rsidP="003006DE">
            <w:r w:rsidRPr="003006DE">
              <w:rPr>
                <w:b/>
                <w:bCs/>
              </w:rPr>
              <w:t>Fähigkeiten</w:t>
            </w:r>
          </w:p>
        </w:tc>
        <w:tc>
          <w:tcPr>
            <w:tcW w:w="7335" w:type="dxa"/>
          </w:tcPr>
          <w:p w14:paraId="670125CF" w14:textId="5877C6FC" w:rsidR="003006DE" w:rsidRPr="003006DE" w:rsidRDefault="003006DE" w:rsidP="003006DE">
            <w:r w:rsidRPr="003006DE">
              <w:t>Hier geht es um die visuelle Wahrnehmung und die Auge-Hand-Koordination Ihres Pflegekunden, z. B. Augenkontakt</w:t>
            </w:r>
            <w:r>
              <w:t xml:space="preserve"> </w:t>
            </w:r>
            <w:r w:rsidRPr="003006DE">
              <w:t>aufbauen und halten, jemandem in die Augen sehen, Blick ins Leere, Handling von Alltagsgegenständen wird schwierig.</w:t>
            </w:r>
          </w:p>
          <w:p w14:paraId="61EDE591" w14:textId="06F84C29" w:rsidR="001B50A6" w:rsidRPr="00034CE1" w:rsidRDefault="003006DE" w:rsidP="003006DE">
            <w:r w:rsidRPr="003006DE">
              <w:t>Beziehungsbedarfe werden hier sowohl bei der angemessenen Gestaltung von Kommunikationssituationen als</w:t>
            </w:r>
            <w:r>
              <w:t xml:space="preserve"> </w:t>
            </w:r>
            <w:r w:rsidRPr="003006DE">
              <w:t>auch bei der Unterstützung von Alltagshandlungen deutlich.</w:t>
            </w:r>
          </w:p>
        </w:tc>
      </w:tr>
      <w:tr w:rsidR="001B50A6" w14:paraId="66AA8C6F" w14:textId="77777777" w:rsidTr="004A1446">
        <w:trPr>
          <w:trHeight w:val="850"/>
        </w:trPr>
        <w:tc>
          <w:tcPr>
            <w:tcW w:w="2725" w:type="dxa"/>
          </w:tcPr>
          <w:p w14:paraId="54698EC8" w14:textId="1A814A59" w:rsidR="001B50A6" w:rsidRPr="00F67CD6" w:rsidRDefault="003006DE" w:rsidP="00A45EA5">
            <w:r w:rsidRPr="003006DE">
              <w:rPr>
                <w:b/>
                <w:bCs/>
              </w:rPr>
              <w:t>Soziale Kognition</w:t>
            </w:r>
          </w:p>
        </w:tc>
        <w:tc>
          <w:tcPr>
            <w:tcW w:w="7335" w:type="dxa"/>
          </w:tcPr>
          <w:p w14:paraId="0F3DEE4E" w14:textId="70029792" w:rsidR="004A1446" w:rsidRPr="004A1446" w:rsidRDefault="004A1446" w:rsidP="004A1446">
            <w:r w:rsidRPr="004A1446">
              <w:t>Hier geht es um das Erkennen und die Interpretation von Emotionen sowie das Verstehen, dass jede Person ihre eigene</w:t>
            </w:r>
            <w:r>
              <w:t xml:space="preserve"> </w:t>
            </w:r>
            <w:r w:rsidRPr="004A1446">
              <w:t>Perspektive und ihre eigenen Motive repräsentiert. Wenn Ihr Pflegekunde verbale oder nonverbale Kommunikation vermeidet</w:t>
            </w:r>
            <w:r>
              <w:t xml:space="preserve"> </w:t>
            </w:r>
            <w:r w:rsidRPr="004A1446">
              <w:t>oder auf Versuche, mit ihm zu kommunizieren, nicht reagiert, kann dies ein Hinweis auf kognitive Einschränkungen</w:t>
            </w:r>
            <w:r>
              <w:t xml:space="preserve"> </w:t>
            </w:r>
            <w:r w:rsidRPr="004A1446">
              <w:t>sein. Beziehungsbedarfe werden dann aus dem Maß der Einschränkung deutlich und beziehen sich sowohl auf die</w:t>
            </w:r>
          </w:p>
          <w:p w14:paraId="70977023" w14:textId="55EBD564" w:rsidR="001B50A6" w:rsidRPr="00F67CD6" w:rsidRDefault="004A1446" w:rsidP="004A1446">
            <w:r w:rsidRPr="004A1446">
              <w:t>Situationsgestaltung als auch auf die Angemessenheit der Kommunikations- und Interaktionsangebote.</w:t>
            </w:r>
          </w:p>
        </w:tc>
      </w:tr>
      <w:tr w:rsidR="004A1446" w14:paraId="22A9227A" w14:textId="77777777" w:rsidTr="00E05697">
        <w:trPr>
          <w:trHeight w:val="850"/>
        </w:trPr>
        <w:tc>
          <w:tcPr>
            <w:tcW w:w="10060" w:type="dxa"/>
            <w:gridSpan w:val="2"/>
          </w:tcPr>
          <w:p w14:paraId="33A02B47" w14:textId="0688500A" w:rsidR="004A1446" w:rsidRPr="004A1446" w:rsidRDefault="004A1446" w:rsidP="004A1446">
            <w:r w:rsidRPr="004A1446">
              <w:rPr>
                <w:i/>
                <w:iCs/>
              </w:rPr>
              <w:t xml:space="preserve">Quelle: </w:t>
            </w:r>
            <w:r w:rsidRPr="004A1446">
              <w:t>Expertenstandard „Beziehungsgestaltung in der Pflege von Menschen mit Demenz“ des DNP, Seite 34 f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34CE1"/>
    <w:rsid w:val="00090AD2"/>
    <w:rsid w:val="00091B26"/>
    <w:rsid w:val="000C19C7"/>
    <w:rsid w:val="000E2430"/>
    <w:rsid w:val="000E4D3A"/>
    <w:rsid w:val="001244FE"/>
    <w:rsid w:val="001633EE"/>
    <w:rsid w:val="001833F0"/>
    <w:rsid w:val="001B4DE2"/>
    <w:rsid w:val="001B50A6"/>
    <w:rsid w:val="001C77D9"/>
    <w:rsid w:val="001D1B49"/>
    <w:rsid w:val="001D2F1E"/>
    <w:rsid w:val="001F0088"/>
    <w:rsid w:val="00275969"/>
    <w:rsid w:val="00281EF3"/>
    <w:rsid w:val="00284ADA"/>
    <w:rsid w:val="00296C25"/>
    <w:rsid w:val="002A0726"/>
    <w:rsid w:val="002B1C14"/>
    <w:rsid w:val="002E0352"/>
    <w:rsid w:val="003006DE"/>
    <w:rsid w:val="003369D7"/>
    <w:rsid w:val="00364461"/>
    <w:rsid w:val="003C4007"/>
    <w:rsid w:val="00434CE9"/>
    <w:rsid w:val="0044459E"/>
    <w:rsid w:val="00454A47"/>
    <w:rsid w:val="0048281D"/>
    <w:rsid w:val="00485BC1"/>
    <w:rsid w:val="004A1446"/>
    <w:rsid w:val="004E12B8"/>
    <w:rsid w:val="005139D9"/>
    <w:rsid w:val="00585600"/>
    <w:rsid w:val="005B244F"/>
    <w:rsid w:val="005E065B"/>
    <w:rsid w:val="005E204A"/>
    <w:rsid w:val="00626A00"/>
    <w:rsid w:val="006350DF"/>
    <w:rsid w:val="00635C1E"/>
    <w:rsid w:val="006430BD"/>
    <w:rsid w:val="006512DE"/>
    <w:rsid w:val="006E6C54"/>
    <w:rsid w:val="007138E8"/>
    <w:rsid w:val="00713C3C"/>
    <w:rsid w:val="00743086"/>
    <w:rsid w:val="0075023C"/>
    <w:rsid w:val="00790409"/>
    <w:rsid w:val="00792794"/>
    <w:rsid w:val="007944B4"/>
    <w:rsid w:val="007A4343"/>
    <w:rsid w:val="007B047B"/>
    <w:rsid w:val="00815980"/>
    <w:rsid w:val="00895BF3"/>
    <w:rsid w:val="008B7C1A"/>
    <w:rsid w:val="009262D4"/>
    <w:rsid w:val="00940908"/>
    <w:rsid w:val="00941651"/>
    <w:rsid w:val="00945C75"/>
    <w:rsid w:val="00945DC8"/>
    <w:rsid w:val="00947F3E"/>
    <w:rsid w:val="0096485A"/>
    <w:rsid w:val="009C4528"/>
    <w:rsid w:val="009D3A29"/>
    <w:rsid w:val="009E5DFB"/>
    <w:rsid w:val="009E6192"/>
    <w:rsid w:val="00A10B26"/>
    <w:rsid w:val="00A45EA5"/>
    <w:rsid w:val="00A57442"/>
    <w:rsid w:val="00AC5539"/>
    <w:rsid w:val="00AD4B7C"/>
    <w:rsid w:val="00B110ED"/>
    <w:rsid w:val="00B1194D"/>
    <w:rsid w:val="00B34EA3"/>
    <w:rsid w:val="00B67AAD"/>
    <w:rsid w:val="00BB4DB8"/>
    <w:rsid w:val="00BE46CE"/>
    <w:rsid w:val="00C122C9"/>
    <w:rsid w:val="00C55AB6"/>
    <w:rsid w:val="00C74280"/>
    <w:rsid w:val="00CF02E1"/>
    <w:rsid w:val="00D00EA4"/>
    <w:rsid w:val="00D13F60"/>
    <w:rsid w:val="00D55CA0"/>
    <w:rsid w:val="00D72939"/>
    <w:rsid w:val="00DA4BE2"/>
    <w:rsid w:val="00DE75E3"/>
    <w:rsid w:val="00DF5CE7"/>
    <w:rsid w:val="00E03CFD"/>
    <w:rsid w:val="00E40C25"/>
    <w:rsid w:val="00ED6185"/>
    <w:rsid w:val="00EE5D77"/>
    <w:rsid w:val="00F2785B"/>
    <w:rsid w:val="00F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3129</Characters>
  <Application>Microsoft Office Word</Application>
  <DocSecurity>4</DocSecurity>
  <Lines>26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2025-10-08T07:38:00Z</dcterms:created>
  <dcterms:modified xsi:type="dcterms:W3CDTF">2025-10-08T07:38:00Z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