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04CE32EA">
                <wp:simplePos x="0" y="0"/>
                <wp:positionH relativeFrom="column">
                  <wp:posOffset>4853305</wp:posOffset>
                </wp:positionH>
                <wp:positionV relativeFrom="paragraph">
                  <wp:posOffset>1357629</wp:posOffset>
                </wp:positionV>
                <wp:extent cx="1333500" cy="276225"/>
                <wp:effectExtent l="0" t="0" r="19050" b="28575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4985094C" w:rsidR="0075023C" w:rsidRPr="0075023C" w:rsidRDefault="002E01C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6605F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106.9pt;width:10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" fillcolor="#f1a983 [1941]" strokecolor="#f6c5ac [1301]" strokeweight=".5pt">
                <v:textbox>
                  <w:txbxContent>
                    <w:p w14:paraId="3BDBDBA4" w14:textId="4985094C" w:rsidR="0075023C" w:rsidRPr="0075023C" w:rsidRDefault="002E01C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6605F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00EA4" w14:paraId="037B22FE" w14:textId="3378DA6F" w:rsidTr="00D813A6">
        <w:tc>
          <w:tcPr>
            <w:tcW w:w="9776" w:type="dxa"/>
            <w:shd w:val="clear" w:color="auto" w:fill="F1A983" w:themeFill="accent2" w:themeFillTint="99"/>
          </w:tcPr>
          <w:p w14:paraId="3E60AC5E" w14:textId="7CD2EDFF" w:rsidR="00D00EA4" w:rsidRPr="00D00EA4" w:rsidRDefault="003D71ED" w:rsidP="009F2392">
            <w:pPr>
              <w:jc w:val="center"/>
              <w:rPr>
                <w:b/>
                <w:bCs/>
                <w:sz w:val="32"/>
                <w:szCs w:val="32"/>
              </w:rPr>
            </w:pPr>
            <w:r w:rsidRPr="003D71ED">
              <w:rPr>
                <w:b/>
                <w:bCs/>
                <w:sz w:val="32"/>
                <w:szCs w:val="32"/>
              </w:rPr>
              <w:t>INFOKASTEN: Schwerbehinderung</w:t>
            </w:r>
          </w:p>
        </w:tc>
      </w:tr>
      <w:tr w:rsidR="003B0306" w14:paraId="1FD39C61" w14:textId="551D1DC8" w:rsidTr="00EA456C">
        <w:tc>
          <w:tcPr>
            <w:tcW w:w="9776" w:type="dxa"/>
            <w:shd w:val="clear" w:color="auto" w:fill="FAE2D5"/>
          </w:tcPr>
          <w:p w14:paraId="4E813C56" w14:textId="77777777" w:rsidR="003D71ED" w:rsidRDefault="003D71ED" w:rsidP="003D71ED">
            <w:pPr>
              <w:rPr>
                <w:b/>
                <w:bCs/>
              </w:rPr>
            </w:pPr>
            <w:r w:rsidRPr="003D71ED">
              <w:rPr>
                <w:b/>
                <w:bCs/>
              </w:rPr>
              <w:t>Wer gilt als schwerbehindert?</w:t>
            </w:r>
          </w:p>
          <w:p w14:paraId="4DF8E523" w14:textId="77777777" w:rsidR="003D71ED" w:rsidRPr="003D71ED" w:rsidRDefault="003D71ED" w:rsidP="003D71ED">
            <w:pPr>
              <w:rPr>
                <w:b/>
                <w:bCs/>
              </w:rPr>
            </w:pPr>
          </w:p>
          <w:p w14:paraId="4EF49C6A" w14:textId="77777777" w:rsidR="003D71ED" w:rsidRPr="003D71ED" w:rsidRDefault="003D71ED" w:rsidP="003D71ED">
            <w:r w:rsidRPr="003D71ED">
              <w:t>Am Anfang steht eine wichtige Unterscheidung: Nicht jeder, der nach den sozialrechtlichen</w:t>
            </w:r>
          </w:p>
          <w:p w14:paraId="19215AF0" w14:textId="77777777" w:rsidR="003D71ED" w:rsidRPr="003D71ED" w:rsidRDefault="003D71ED" w:rsidP="003D71ED">
            <w:r w:rsidRPr="003D71ED">
              <w:t>Kriterien des SGB IX als „behindert“ gilt, kann auch den besonderen arbeitsrechtlichen</w:t>
            </w:r>
          </w:p>
          <w:p w14:paraId="2FAA6728" w14:textId="77777777" w:rsidR="003D71ED" w:rsidRPr="003D71ED" w:rsidRDefault="003D71ED" w:rsidP="003D71ED">
            <w:r w:rsidRPr="003D71ED">
              <w:t>Schutz als „Schwerbehinderter“ für sich beanspruchen. Dazu ist es nötig, dass diese</w:t>
            </w:r>
          </w:p>
          <w:p w14:paraId="37442553" w14:textId="77777777" w:rsidR="003D71ED" w:rsidRPr="003D71ED" w:rsidRDefault="003D71ED" w:rsidP="003D71ED">
            <w:r w:rsidRPr="003D71ED">
              <w:t>Eigenschaft in einem Rentenbescheid oder vom zuständigen Versorgungsamt festgestellt</w:t>
            </w:r>
          </w:p>
          <w:p w14:paraId="4C58B90B" w14:textId="77777777" w:rsidR="003D71ED" w:rsidRPr="003D71ED" w:rsidRDefault="003D71ED" w:rsidP="003D71ED">
            <w:r w:rsidRPr="003D71ED">
              <w:t>wird. Dies geschieht auf Grundlage von ärztlichen Untersuchungen – nach einem Antrag</w:t>
            </w:r>
          </w:p>
          <w:p w14:paraId="02BFB750" w14:textId="77777777" w:rsidR="003D71ED" w:rsidRPr="003D71ED" w:rsidRDefault="003D71ED" w:rsidP="003D71ED">
            <w:r w:rsidRPr="003D71ED">
              <w:t>des Betroffenen. Der Bescheid des Versorgungsamts legt zugleich einen sogenannten</w:t>
            </w:r>
          </w:p>
          <w:p w14:paraId="0FE82326" w14:textId="77777777" w:rsidR="003D71ED" w:rsidRPr="003D71ED" w:rsidRDefault="003D71ED" w:rsidP="003D71ED">
            <w:r w:rsidRPr="003D71ED">
              <w:t>„Grad der Behinderung (</w:t>
            </w:r>
            <w:proofErr w:type="spellStart"/>
            <w:r w:rsidRPr="003D71ED">
              <w:t>GdB</w:t>
            </w:r>
            <w:proofErr w:type="spellEnd"/>
            <w:r w:rsidRPr="003D71ED">
              <w:t>)“ fest. Dieser kann auf einem Zehnerschritt zwischen 20 und</w:t>
            </w:r>
          </w:p>
          <w:p w14:paraId="57992D4A" w14:textId="77777777" w:rsidR="003D71ED" w:rsidRDefault="003D71ED" w:rsidP="003D71ED">
            <w:r w:rsidRPr="003D71ED">
              <w:t>100 liegen, wobei erst ab 50 von einer Schwerbehinderung gesprochen wird.</w:t>
            </w:r>
          </w:p>
          <w:p w14:paraId="2F1E8153" w14:textId="77777777" w:rsidR="003D71ED" w:rsidRPr="003D71ED" w:rsidRDefault="003D71ED" w:rsidP="003D71ED"/>
          <w:p w14:paraId="2A6B617A" w14:textId="77777777" w:rsidR="003D71ED" w:rsidRDefault="003D71ED" w:rsidP="003D71ED">
            <w:pPr>
              <w:rPr>
                <w:b/>
                <w:bCs/>
              </w:rPr>
            </w:pPr>
            <w:proofErr w:type="spellStart"/>
            <w:r w:rsidRPr="003D71ED">
              <w:rPr>
                <w:b/>
                <w:bCs/>
              </w:rPr>
              <w:t>GdB</w:t>
            </w:r>
            <w:proofErr w:type="spellEnd"/>
            <w:r w:rsidRPr="003D71ED">
              <w:rPr>
                <w:b/>
                <w:bCs/>
              </w:rPr>
              <w:t xml:space="preserve"> bildet keine prozentuale Einschränkung ab</w:t>
            </w:r>
          </w:p>
          <w:p w14:paraId="7AAEE7CF" w14:textId="77777777" w:rsidR="003D71ED" w:rsidRPr="003D71ED" w:rsidRDefault="003D71ED" w:rsidP="003D71ED">
            <w:pPr>
              <w:rPr>
                <w:b/>
                <w:bCs/>
              </w:rPr>
            </w:pPr>
          </w:p>
          <w:p w14:paraId="748746E1" w14:textId="77777777" w:rsidR="003D71ED" w:rsidRPr="003D71ED" w:rsidRDefault="003D71ED" w:rsidP="003D71ED">
            <w:r w:rsidRPr="003D71ED">
              <w:t xml:space="preserve">Irrtümlich wird der </w:t>
            </w:r>
            <w:proofErr w:type="spellStart"/>
            <w:r w:rsidRPr="003D71ED">
              <w:t>GdB</w:t>
            </w:r>
            <w:proofErr w:type="spellEnd"/>
            <w:r w:rsidRPr="003D71ED">
              <w:t xml:space="preserve"> oft mit einem Prozentzeichen ergänzt, was suggeriert, dass ein</w:t>
            </w:r>
          </w:p>
          <w:p w14:paraId="04B72379" w14:textId="77777777" w:rsidR="003D71ED" w:rsidRPr="003D71ED" w:rsidRDefault="003D71ED" w:rsidP="003D71ED">
            <w:proofErr w:type="spellStart"/>
            <w:r w:rsidRPr="003D71ED">
              <w:t>GdB</w:t>
            </w:r>
            <w:proofErr w:type="spellEnd"/>
            <w:r w:rsidRPr="003D71ED">
              <w:t xml:space="preserve"> 50 noch der Hälfte der Fähigkeiten der normalen Arbeitsleistung oder -zeit ermögliche.</w:t>
            </w:r>
          </w:p>
          <w:p w14:paraId="00D884A5" w14:textId="77777777" w:rsidR="003D71ED" w:rsidRPr="003D71ED" w:rsidRDefault="003D71ED" w:rsidP="003D71ED">
            <w:r w:rsidRPr="003D71ED">
              <w:t>Doch dieser Zusammenhang existiert nicht.</w:t>
            </w:r>
          </w:p>
          <w:p w14:paraId="0D655D73" w14:textId="77777777" w:rsidR="003D71ED" w:rsidRPr="003D71ED" w:rsidRDefault="003D71ED" w:rsidP="003D71ED">
            <w:r w:rsidRPr="003D71ED">
              <w:rPr>
                <w:b/>
                <w:bCs/>
              </w:rPr>
              <w:t xml:space="preserve">Wichtig: </w:t>
            </w:r>
            <w:r w:rsidRPr="003D71ED">
              <w:t xml:space="preserve">Der </w:t>
            </w:r>
            <w:proofErr w:type="spellStart"/>
            <w:r w:rsidRPr="003D71ED">
              <w:t>GdB</w:t>
            </w:r>
            <w:proofErr w:type="spellEnd"/>
            <w:r w:rsidRPr="003D71ED">
              <w:t xml:space="preserve"> wird in vielen Fällen nur befristet zuerkannt. Das bedeutet für Sie, dass</w:t>
            </w:r>
          </w:p>
          <w:p w14:paraId="04BEBE67" w14:textId="77777777" w:rsidR="003D71ED" w:rsidRPr="003D71ED" w:rsidRDefault="003D71ED" w:rsidP="003D71ED">
            <w:r w:rsidRPr="003D71ED">
              <w:t>die Schwerbehinderteneigenschaft einer Pflegekraft durchaus auch wieder enden kann.</w:t>
            </w:r>
          </w:p>
          <w:p w14:paraId="249B282F" w14:textId="77777777" w:rsidR="003D71ED" w:rsidRPr="003D71ED" w:rsidRDefault="003D71ED" w:rsidP="003D71ED">
            <w:r w:rsidRPr="003D71ED">
              <w:t>Das ist etwa nach einer überstandenen Krebserkrankung sehr häufig der Fall.</w:t>
            </w:r>
          </w:p>
          <w:p w14:paraId="1E813422" w14:textId="036A3B71" w:rsidR="003B0306" w:rsidRPr="00194C9E" w:rsidRDefault="003D71ED" w:rsidP="003D71ED">
            <w:pPr>
              <w:rPr>
                <w:b/>
                <w:bCs/>
              </w:rPr>
            </w:pPr>
            <w:r w:rsidRPr="003D71ED">
              <w:t>Für eine Verlängerung des SB-Status muss Ihr Mitarbeiter einen neuen Antrag stellen. Gleiches</w:t>
            </w:r>
            <w:r>
              <w:t xml:space="preserve"> </w:t>
            </w:r>
            <w:r w:rsidRPr="003D71ED">
              <w:t xml:space="preserve">gilt, wenn er eine Erhöhung des </w:t>
            </w:r>
            <w:proofErr w:type="spellStart"/>
            <w:r w:rsidRPr="003D71ED">
              <w:t>GdB</w:t>
            </w:r>
            <w:proofErr w:type="spellEnd"/>
            <w:r w:rsidRPr="003D71ED">
              <w:t xml:space="preserve"> erreichen möchte. Erst bei einem unbefristet bescheinigten</w:t>
            </w:r>
            <w:r>
              <w:t xml:space="preserve"> </w:t>
            </w:r>
            <w:proofErr w:type="spellStart"/>
            <w:r w:rsidRPr="003D71ED">
              <w:t>GdB</w:t>
            </w:r>
            <w:proofErr w:type="spellEnd"/>
            <w:r w:rsidRPr="003D71ED">
              <w:t xml:space="preserve"> 100 können Sie davon ausgehen, dass sich daran nichts mehr ändern wird.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829"/>
    <w:rsid w:val="0001390D"/>
    <w:rsid w:val="00033F97"/>
    <w:rsid w:val="00063932"/>
    <w:rsid w:val="00091B26"/>
    <w:rsid w:val="000A32E8"/>
    <w:rsid w:val="000C19C7"/>
    <w:rsid w:val="000E2430"/>
    <w:rsid w:val="001244FE"/>
    <w:rsid w:val="00130EF3"/>
    <w:rsid w:val="001633EE"/>
    <w:rsid w:val="001833F0"/>
    <w:rsid w:val="00194C9E"/>
    <w:rsid w:val="001C77D9"/>
    <w:rsid w:val="001D1B49"/>
    <w:rsid w:val="001D2F1E"/>
    <w:rsid w:val="001F0088"/>
    <w:rsid w:val="00270221"/>
    <w:rsid w:val="00275969"/>
    <w:rsid w:val="00281EF3"/>
    <w:rsid w:val="00284ADA"/>
    <w:rsid w:val="00296C25"/>
    <w:rsid w:val="002A0726"/>
    <w:rsid w:val="002B1C14"/>
    <w:rsid w:val="002B449E"/>
    <w:rsid w:val="002E01C9"/>
    <w:rsid w:val="002E0352"/>
    <w:rsid w:val="003369D7"/>
    <w:rsid w:val="00362433"/>
    <w:rsid w:val="00364461"/>
    <w:rsid w:val="00366EFD"/>
    <w:rsid w:val="003B0306"/>
    <w:rsid w:val="003C3EED"/>
    <w:rsid w:val="003D71ED"/>
    <w:rsid w:val="0044459E"/>
    <w:rsid w:val="00451730"/>
    <w:rsid w:val="00454A47"/>
    <w:rsid w:val="0048281D"/>
    <w:rsid w:val="004D5949"/>
    <w:rsid w:val="004E12B8"/>
    <w:rsid w:val="004F2861"/>
    <w:rsid w:val="005139D9"/>
    <w:rsid w:val="00536EA5"/>
    <w:rsid w:val="00552480"/>
    <w:rsid w:val="00565E36"/>
    <w:rsid w:val="00585600"/>
    <w:rsid w:val="005E065B"/>
    <w:rsid w:val="005E204A"/>
    <w:rsid w:val="006072E7"/>
    <w:rsid w:val="0061385D"/>
    <w:rsid w:val="00626A00"/>
    <w:rsid w:val="006350DF"/>
    <w:rsid w:val="006430BD"/>
    <w:rsid w:val="006512DE"/>
    <w:rsid w:val="006605FF"/>
    <w:rsid w:val="00676E9F"/>
    <w:rsid w:val="006E6C54"/>
    <w:rsid w:val="007138E8"/>
    <w:rsid w:val="00713C3C"/>
    <w:rsid w:val="0072576D"/>
    <w:rsid w:val="0073149F"/>
    <w:rsid w:val="007351FF"/>
    <w:rsid w:val="0075023C"/>
    <w:rsid w:val="00790409"/>
    <w:rsid w:val="00792794"/>
    <w:rsid w:val="007944B4"/>
    <w:rsid w:val="007A4343"/>
    <w:rsid w:val="007B047B"/>
    <w:rsid w:val="007E387D"/>
    <w:rsid w:val="007E4ED2"/>
    <w:rsid w:val="007F2693"/>
    <w:rsid w:val="00800D9C"/>
    <w:rsid w:val="00815980"/>
    <w:rsid w:val="00817AF4"/>
    <w:rsid w:val="008A4534"/>
    <w:rsid w:val="008B7C1A"/>
    <w:rsid w:val="008D5179"/>
    <w:rsid w:val="00900AFE"/>
    <w:rsid w:val="009262D4"/>
    <w:rsid w:val="00940908"/>
    <w:rsid w:val="00941651"/>
    <w:rsid w:val="00945C75"/>
    <w:rsid w:val="00945DC8"/>
    <w:rsid w:val="00947F3E"/>
    <w:rsid w:val="00956C86"/>
    <w:rsid w:val="0096485A"/>
    <w:rsid w:val="009D3A29"/>
    <w:rsid w:val="009E2059"/>
    <w:rsid w:val="009E5DFB"/>
    <w:rsid w:val="009F2392"/>
    <w:rsid w:val="00A10B26"/>
    <w:rsid w:val="00A57442"/>
    <w:rsid w:val="00A87AD7"/>
    <w:rsid w:val="00AC5539"/>
    <w:rsid w:val="00AC67EC"/>
    <w:rsid w:val="00AD4B7C"/>
    <w:rsid w:val="00B1194D"/>
    <w:rsid w:val="00B23AAF"/>
    <w:rsid w:val="00B34EA3"/>
    <w:rsid w:val="00B67AAD"/>
    <w:rsid w:val="00B90B07"/>
    <w:rsid w:val="00B930B6"/>
    <w:rsid w:val="00BB4DB8"/>
    <w:rsid w:val="00BE46CE"/>
    <w:rsid w:val="00BE6F61"/>
    <w:rsid w:val="00C122C9"/>
    <w:rsid w:val="00C55AB6"/>
    <w:rsid w:val="00C74280"/>
    <w:rsid w:val="00CF02E1"/>
    <w:rsid w:val="00D00EA4"/>
    <w:rsid w:val="00D13F60"/>
    <w:rsid w:val="00D21304"/>
    <w:rsid w:val="00D55CA0"/>
    <w:rsid w:val="00D72939"/>
    <w:rsid w:val="00D813A6"/>
    <w:rsid w:val="00DA4BE2"/>
    <w:rsid w:val="00DE75E3"/>
    <w:rsid w:val="00DF5CE7"/>
    <w:rsid w:val="00E30DAB"/>
    <w:rsid w:val="00E40C25"/>
    <w:rsid w:val="00ED6185"/>
    <w:rsid w:val="00F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deb7bf1de3b6eb4ea4b29ef2672593f4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dc30464cbaab301590bf80c3fffbbb78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9AEA3-0C5E-48AE-8BA7-B9EFBFD99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2025-11-19T10:21:00Z</dcterms:created>
  <dcterms:modified xsi:type="dcterms:W3CDTF">2025-11-19T10:21:00Z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