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79632F68" w14:textId="1DF253D6" w:rsidR="00AB1450" w:rsidRPr="00F6696F" w:rsidRDefault="006E18EF" w:rsidP="00F6696F">
      <w:pPr>
        <w:tabs>
          <w:tab w:val="left" w:pos="2430"/>
        </w:tabs>
      </w:pPr>
      <w:r>
        <w:tab/>
      </w:r>
    </w:p>
    <w:tbl>
      <w:tblPr>
        <w:tblStyle w:val="Tabellenraster"/>
        <w:tblW w:w="10768" w:type="dxa"/>
        <w:jc w:val="center"/>
        <w:tblLook w:val="04A0" w:firstRow="1" w:lastRow="0" w:firstColumn="1" w:lastColumn="0" w:noHBand="0" w:noVBand="1"/>
      </w:tblPr>
      <w:tblGrid>
        <w:gridCol w:w="2547"/>
        <w:gridCol w:w="8221"/>
      </w:tblGrid>
      <w:tr w:rsidR="00AB1450" w:rsidRPr="00AB1450" w14:paraId="554B0F55" w14:textId="77777777" w:rsidTr="00F6696F">
        <w:trPr>
          <w:jc w:val="center"/>
        </w:trPr>
        <w:tc>
          <w:tcPr>
            <w:tcW w:w="10768" w:type="dxa"/>
            <w:gridSpan w:val="2"/>
            <w:shd w:val="clear" w:color="auto" w:fill="911915"/>
          </w:tcPr>
          <w:p w14:paraId="1B4C32F1" w14:textId="2BFE2E95" w:rsidR="00AB1450" w:rsidRPr="00AB1450" w:rsidRDefault="00AB1450" w:rsidP="00AB1450">
            <w:pPr>
              <w:spacing w:before="120" w:after="120"/>
              <w:rPr>
                <w:rFonts w:ascii="Arial" w:hAnsi="Arial" w:cs="Arial"/>
                <w:b/>
                <w:color w:val="FFFFFF"/>
                <w:sz w:val="28"/>
                <w:szCs w:val="28"/>
              </w:rPr>
            </w:pPr>
            <w:r w:rsidRPr="00AB1450">
              <w:rPr>
                <w:rFonts w:ascii="Arial" w:hAnsi="Arial" w:cs="Arial"/>
                <w:b/>
                <w:color w:val="FFFFFF"/>
                <w:sz w:val="28"/>
                <w:szCs w:val="28"/>
              </w:rPr>
              <w:t>Übersicht: Innovative Ideen für eine bindungsorientierte Führungskultur</w:t>
            </w:r>
          </w:p>
        </w:tc>
      </w:tr>
      <w:tr w:rsidR="00AB1450" w:rsidRPr="00AB1450" w14:paraId="7711DC4A" w14:textId="77777777" w:rsidTr="00F6696F">
        <w:trPr>
          <w:jc w:val="center"/>
        </w:trPr>
        <w:tc>
          <w:tcPr>
            <w:tcW w:w="2547" w:type="dxa"/>
            <w:shd w:val="clear" w:color="auto" w:fill="C1D9C9"/>
          </w:tcPr>
          <w:p w14:paraId="6D1E8F35" w14:textId="3C9A734D" w:rsidR="00AB1450" w:rsidRPr="00AB1450" w:rsidRDefault="00AB1450" w:rsidP="00AB1450">
            <w:pPr>
              <w:spacing w:before="120" w:after="120"/>
              <w:rPr>
                <w:rFonts w:ascii="Arial" w:hAnsi="Arial" w:cs="Arial"/>
                <w:b/>
                <w:color w:val="000000" w:themeColor="text1"/>
                <w:sz w:val="24"/>
                <w:szCs w:val="24"/>
              </w:rPr>
            </w:pPr>
            <w:r w:rsidRPr="00AB1450">
              <w:rPr>
                <w:rFonts w:ascii="Arial" w:hAnsi="Arial" w:cs="Arial"/>
                <w:b/>
                <w:color w:val="000000" w:themeColor="text1"/>
                <w:sz w:val="24"/>
                <w:szCs w:val="24"/>
              </w:rPr>
              <w:t>Ideen für bindungs</w:t>
            </w:r>
            <w:r w:rsidR="00F6696F">
              <w:rPr>
                <w:rFonts w:ascii="Arial" w:hAnsi="Arial" w:cs="Arial"/>
                <w:b/>
                <w:color w:val="000000" w:themeColor="text1"/>
                <w:sz w:val="24"/>
                <w:szCs w:val="24"/>
              </w:rPr>
              <w:t>-</w:t>
            </w:r>
            <w:r w:rsidRPr="00AB1450">
              <w:rPr>
                <w:rFonts w:ascii="Arial" w:hAnsi="Arial" w:cs="Arial"/>
                <w:b/>
                <w:color w:val="000000" w:themeColor="text1"/>
                <w:sz w:val="24"/>
                <w:szCs w:val="24"/>
              </w:rPr>
              <w:t>orientierte Führung</w:t>
            </w:r>
          </w:p>
        </w:tc>
        <w:tc>
          <w:tcPr>
            <w:tcW w:w="8221" w:type="dxa"/>
            <w:shd w:val="clear" w:color="auto" w:fill="C1D9C9"/>
          </w:tcPr>
          <w:p w14:paraId="4868C9C8" w14:textId="77777777" w:rsidR="00AB1450" w:rsidRPr="00AB1450" w:rsidRDefault="00AB1450" w:rsidP="00AB1450">
            <w:pPr>
              <w:spacing w:before="120" w:after="120"/>
              <w:rPr>
                <w:rFonts w:ascii="Arial" w:hAnsi="Arial" w:cs="Arial"/>
                <w:b/>
                <w:color w:val="000000" w:themeColor="text1"/>
                <w:sz w:val="24"/>
                <w:szCs w:val="24"/>
              </w:rPr>
            </w:pPr>
            <w:r w:rsidRPr="00AB1450">
              <w:rPr>
                <w:rFonts w:ascii="Arial" w:hAnsi="Arial" w:cs="Arial"/>
                <w:b/>
                <w:color w:val="000000" w:themeColor="text1"/>
                <w:sz w:val="24"/>
                <w:szCs w:val="24"/>
              </w:rPr>
              <w:t>Umsetzung</w:t>
            </w:r>
          </w:p>
        </w:tc>
      </w:tr>
      <w:tr w:rsidR="00AB1450" w:rsidRPr="00AB1450" w14:paraId="1FBC18C9" w14:textId="77777777" w:rsidTr="00F6696F">
        <w:trPr>
          <w:jc w:val="center"/>
        </w:trPr>
        <w:tc>
          <w:tcPr>
            <w:tcW w:w="2547" w:type="dxa"/>
          </w:tcPr>
          <w:p w14:paraId="033CEC89"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Mikrobindung: kleine Gesten mit großer Wirkung</w:t>
            </w:r>
          </w:p>
          <w:p w14:paraId="534AFBBD" w14:textId="77777777" w:rsidR="00AB1450" w:rsidRPr="00AB1450" w:rsidRDefault="00AB1450" w:rsidP="00AB1450">
            <w:pPr>
              <w:spacing w:before="120" w:after="120"/>
              <w:rPr>
                <w:rFonts w:ascii="Arial" w:hAnsi="Arial" w:cs="Arial"/>
                <w:bCs/>
                <w:color w:val="000000" w:themeColor="text1"/>
                <w:sz w:val="24"/>
                <w:szCs w:val="24"/>
              </w:rPr>
            </w:pPr>
          </w:p>
        </w:tc>
        <w:tc>
          <w:tcPr>
            <w:tcW w:w="8221" w:type="dxa"/>
          </w:tcPr>
          <w:p w14:paraId="7EA875CC"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Bindung entsteht im Alltag – durch Mikrointeraktionen.</w:t>
            </w:r>
            <w:r w:rsidRPr="00AB1450">
              <w:rPr>
                <w:rFonts w:ascii="Arial" w:hAnsi="Arial" w:cs="Arial"/>
                <w:bCs/>
                <w:color w:val="000000" w:themeColor="text1"/>
                <w:sz w:val="24"/>
                <w:szCs w:val="24"/>
              </w:rPr>
              <w:br/>
              <w:t>Das können sein: kurze persönliche Wertschätzungsnachrichten nach herausfordernden Diensten, spontane Unterstützung, ein bewusstes „Ich habe gesehen, wie Sie …“ oder das gemeinsame Feiern kleiner Erfolge. Diese Mikrogesten wirken nachhaltiger als jährliche Dankesreden.</w:t>
            </w:r>
          </w:p>
        </w:tc>
      </w:tr>
      <w:tr w:rsidR="00AB1450" w:rsidRPr="00AB1450" w14:paraId="2A82ACF3" w14:textId="77777777" w:rsidTr="00F6696F">
        <w:trPr>
          <w:jc w:val="center"/>
        </w:trPr>
        <w:tc>
          <w:tcPr>
            <w:tcW w:w="2547" w:type="dxa"/>
          </w:tcPr>
          <w:p w14:paraId="0E0F8C4C"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Partizipative Dienstplanung mit Wahloptionen</w:t>
            </w:r>
          </w:p>
        </w:tc>
        <w:tc>
          <w:tcPr>
            <w:tcW w:w="8221" w:type="dxa"/>
          </w:tcPr>
          <w:p w14:paraId="0585F8B5"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Eine bindungsorientierte Dienstplanung bedeutet, Mitarbeiter gezielt einzubeziehen und ihnen echten Einfluss auf ihren Arbeitsrhythmus zu geben. Das kann z. B. eine transparente Wunschdienstliste sein, in die sich Mitarbeiter eintragen dürfen, bevor der Dienstplan erstellt wird. Ebenso hilfreich sind klar geregelte Tauschbörsen, in denen Dienste unkompliziert und ohne bürokratische Hürden untereinander getauscht werden können.</w:t>
            </w:r>
          </w:p>
          <w:p w14:paraId="7FA2FAF6" w14:textId="07C27822"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Auch thematische Wochenmodelle lassen sich gut integrieren, etwa eine „Entlastungswoche“ nach besonders intensiven Phasen, eine „Qualifizierungswoche“ für Mitarbeiter, die Schulungen benötigen, oder eine „Kids-Woche“ für Kolleginnen und Kollegen mit erhöhtem Betreuungs</w:t>
            </w:r>
            <w:r w:rsidR="00F6696F">
              <w:rPr>
                <w:rFonts w:ascii="Arial" w:hAnsi="Arial" w:cs="Arial"/>
                <w:bCs/>
                <w:color w:val="000000" w:themeColor="text1"/>
                <w:sz w:val="24"/>
                <w:szCs w:val="24"/>
              </w:rPr>
              <w:t>-</w:t>
            </w:r>
            <w:r w:rsidRPr="00AB1450">
              <w:rPr>
                <w:rFonts w:ascii="Arial" w:hAnsi="Arial" w:cs="Arial"/>
                <w:bCs/>
                <w:color w:val="000000" w:themeColor="text1"/>
                <w:sz w:val="24"/>
                <w:szCs w:val="24"/>
              </w:rPr>
              <w:t>bedarf zu Hause. Diese flexiblen Elemente vermitteln das Gefühl: „Meine Führungskraft sieht meine Lebenssituation und nimmt Rücksicht.“</w:t>
            </w:r>
          </w:p>
        </w:tc>
      </w:tr>
      <w:tr w:rsidR="00AB1450" w:rsidRPr="00AB1450" w14:paraId="5DCBC281" w14:textId="77777777" w:rsidTr="00F6696F">
        <w:trPr>
          <w:jc w:val="center"/>
        </w:trPr>
        <w:tc>
          <w:tcPr>
            <w:tcW w:w="2547" w:type="dxa"/>
          </w:tcPr>
          <w:p w14:paraId="7231AA3C"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Beziehungspaten im Team etablieren</w:t>
            </w:r>
          </w:p>
        </w:tc>
        <w:tc>
          <w:tcPr>
            <w:tcW w:w="8221" w:type="dxa"/>
          </w:tcPr>
          <w:p w14:paraId="765CB655"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Neue Mitarbeiter verlieren Sie in den ersten 90 Tagen – oder Sie binden sie in dieser Zeit. Ein Beziehungspatenmodell geht über klassische Einarbeitung hinaus: Erfahrene Kolleginnen oder Kollegen begleiten neue Teammitglieder emotional, fachlich und sozial durch die ersten Monate. Ziel: Sicherheit schaffen und Zugehörigkeit früh verankern.</w:t>
            </w:r>
          </w:p>
        </w:tc>
      </w:tr>
      <w:tr w:rsidR="00AB1450" w:rsidRPr="00AB1450" w14:paraId="3805813E" w14:textId="77777777" w:rsidTr="00F6696F">
        <w:trPr>
          <w:jc w:val="center"/>
        </w:trPr>
        <w:tc>
          <w:tcPr>
            <w:tcW w:w="2547" w:type="dxa"/>
          </w:tcPr>
          <w:p w14:paraId="6CF1B0CB"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Dialogische Jahresgespräche statt Bewertungsrunden</w:t>
            </w:r>
          </w:p>
        </w:tc>
        <w:tc>
          <w:tcPr>
            <w:tcW w:w="8221" w:type="dxa"/>
          </w:tcPr>
          <w:p w14:paraId="0F184519" w14:textId="49EA2EF3"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Weg vom „Führen durch Bewertung“ hin zum „Führen durch Verbindung“.</w:t>
            </w:r>
            <w:r>
              <w:rPr>
                <w:rFonts w:ascii="Arial" w:hAnsi="Arial" w:cs="Arial"/>
                <w:bCs/>
                <w:color w:val="000000" w:themeColor="text1"/>
                <w:sz w:val="24"/>
                <w:szCs w:val="24"/>
              </w:rPr>
              <w:t xml:space="preserve"> </w:t>
            </w:r>
            <w:r w:rsidRPr="00AB1450">
              <w:rPr>
                <w:rFonts w:ascii="Arial" w:hAnsi="Arial" w:cs="Arial"/>
                <w:bCs/>
                <w:color w:val="000000" w:themeColor="text1"/>
                <w:sz w:val="24"/>
                <w:szCs w:val="24"/>
              </w:rPr>
              <w:t>Führen Sie Gespräche, in denen nicht nur Leistung, sondern auch Bindungsfaktoren reflektiert werden:</w:t>
            </w:r>
          </w:p>
          <w:p w14:paraId="311F928B" w14:textId="77777777" w:rsidR="00AB1450" w:rsidRPr="00AB1450" w:rsidRDefault="00AB1450" w:rsidP="00AB1450">
            <w:pPr>
              <w:pStyle w:val="Listenabsatz"/>
              <w:numPr>
                <w:ilvl w:val="0"/>
                <w:numId w:val="24"/>
              </w:numPr>
              <w:spacing w:before="120" w:after="120" w:line="276" w:lineRule="auto"/>
              <w:ind w:left="465"/>
              <w:rPr>
                <w:rFonts w:ascii="Arial" w:eastAsiaTheme="minorHAnsi" w:hAnsi="Arial" w:cs="Arial"/>
                <w:color w:val="000000" w:themeColor="text1"/>
                <w:sz w:val="24"/>
              </w:rPr>
            </w:pPr>
            <w:r w:rsidRPr="00AB1450">
              <w:rPr>
                <w:rFonts w:ascii="Arial" w:eastAsiaTheme="minorHAnsi" w:hAnsi="Arial" w:cs="Arial"/>
                <w:color w:val="000000" w:themeColor="text1"/>
                <w:sz w:val="24"/>
              </w:rPr>
              <w:t>Wodurch fühlen Sie sich im Team sicher?</w:t>
            </w:r>
          </w:p>
          <w:p w14:paraId="2345BCC2" w14:textId="77777777" w:rsidR="00AB1450" w:rsidRPr="00AB1450" w:rsidRDefault="00AB1450" w:rsidP="00AB1450">
            <w:pPr>
              <w:pStyle w:val="Listenabsatz"/>
              <w:numPr>
                <w:ilvl w:val="0"/>
                <w:numId w:val="24"/>
              </w:numPr>
              <w:spacing w:before="120" w:after="120" w:line="276" w:lineRule="auto"/>
              <w:ind w:left="465"/>
              <w:rPr>
                <w:rFonts w:ascii="Arial" w:eastAsiaTheme="minorHAnsi" w:hAnsi="Arial" w:cs="Arial"/>
                <w:color w:val="000000" w:themeColor="text1"/>
                <w:sz w:val="24"/>
              </w:rPr>
            </w:pPr>
            <w:r w:rsidRPr="00AB1450">
              <w:rPr>
                <w:rFonts w:ascii="Arial" w:eastAsiaTheme="minorHAnsi" w:hAnsi="Arial" w:cs="Arial"/>
                <w:color w:val="000000" w:themeColor="text1"/>
                <w:sz w:val="24"/>
              </w:rPr>
              <w:t>Was stärkt Ihre Arbeitsfreude?</w:t>
            </w:r>
          </w:p>
          <w:p w14:paraId="45672549" w14:textId="77777777" w:rsidR="00AB1450" w:rsidRPr="00AB1450" w:rsidRDefault="00AB1450" w:rsidP="00AB1450">
            <w:pPr>
              <w:pStyle w:val="Listenabsatz"/>
              <w:numPr>
                <w:ilvl w:val="0"/>
                <w:numId w:val="24"/>
              </w:numPr>
              <w:spacing w:before="120" w:after="120" w:line="276" w:lineRule="auto"/>
              <w:ind w:left="465"/>
              <w:rPr>
                <w:rFonts w:ascii="Arial" w:eastAsiaTheme="minorHAnsi" w:hAnsi="Arial" w:cs="Arial"/>
                <w:color w:val="000000" w:themeColor="text1"/>
                <w:sz w:val="24"/>
              </w:rPr>
            </w:pPr>
            <w:r w:rsidRPr="00AB1450">
              <w:rPr>
                <w:rFonts w:ascii="Arial" w:eastAsiaTheme="minorHAnsi" w:hAnsi="Arial" w:cs="Arial"/>
                <w:color w:val="000000" w:themeColor="text1"/>
                <w:sz w:val="24"/>
              </w:rPr>
              <w:t>Was muss passieren, damit Sie langfristig bleiben möchten?</w:t>
            </w:r>
          </w:p>
          <w:p w14:paraId="210E2DF3"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So entsteht ein echtes Bild von Bedürfnissen – und eine Grundlage für passgenaue Maßnahmen.</w:t>
            </w:r>
          </w:p>
        </w:tc>
      </w:tr>
      <w:tr w:rsidR="00AB1450" w:rsidRPr="00AB1450" w14:paraId="6DDE31C1" w14:textId="77777777" w:rsidTr="00F6696F">
        <w:trPr>
          <w:jc w:val="center"/>
        </w:trPr>
        <w:tc>
          <w:tcPr>
            <w:tcW w:w="2547" w:type="dxa"/>
          </w:tcPr>
          <w:p w14:paraId="463C09AE"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Gemeinsame Sinnstärkung</w:t>
            </w:r>
          </w:p>
        </w:tc>
        <w:tc>
          <w:tcPr>
            <w:tcW w:w="8221" w:type="dxa"/>
          </w:tcPr>
          <w:p w14:paraId="084C301B" w14:textId="77777777" w:rsidR="00AB1450" w:rsidRPr="00AB1450" w:rsidRDefault="00AB1450" w:rsidP="00AB1450">
            <w:pPr>
              <w:spacing w:before="120" w:after="120"/>
              <w:rPr>
                <w:rFonts w:ascii="Arial" w:hAnsi="Arial" w:cs="Arial"/>
                <w:bCs/>
                <w:color w:val="000000" w:themeColor="text1"/>
                <w:sz w:val="24"/>
                <w:szCs w:val="24"/>
              </w:rPr>
            </w:pPr>
            <w:r w:rsidRPr="00AB1450">
              <w:rPr>
                <w:rFonts w:ascii="Arial" w:hAnsi="Arial" w:cs="Arial"/>
                <w:bCs/>
                <w:color w:val="000000" w:themeColor="text1"/>
                <w:sz w:val="24"/>
                <w:szCs w:val="24"/>
              </w:rPr>
              <w:t>Gerade in der Sozialen Betreuung ist Sinn ein zentraler Bindungsfaktor. Nutzen Sie Teamrunden, um gemeinsam die Frage zu beantworten: „Warum tun wir, was wir tun?“ Sinn lässt sich nicht verordnen – aber er lässt sich sichtbar machen, indem Sie Erfolge, berührende Begegnungen und Fortschritte von Klientinnen und Klienten regelmäßig teilen.</w:t>
            </w:r>
          </w:p>
        </w:tc>
      </w:tr>
    </w:tbl>
    <w:p w14:paraId="74CA203A" w14:textId="77777777" w:rsidR="004F19D3" w:rsidRPr="00AB1450" w:rsidRDefault="004F19D3" w:rsidP="00AB1450">
      <w:pPr>
        <w:spacing w:before="120" w:after="120"/>
        <w:rPr>
          <w:rFonts w:ascii="Arial" w:hAnsi="Arial" w:cs="Arial"/>
          <w:bCs/>
          <w:color w:val="000000" w:themeColor="text1"/>
          <w:sz w:val="24"/>
          <w:szCs w:val="24"/>
        </w:rPr>
      </w:pPr>
    </w:p>
    <w:sectPr w:rsidR="004F19D3" w:rsidRPr="00AB1450" w:rsidSect="00F6696F">
      <w:headerReference w:type="default" r:id="rId9"/>
      <w:pgSz w:w="11906" w:h="16838" w:code="9"/>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C7C4" w14:textId="77777777" w:rsidR="00F67276" w:rsidRDefault="00F67276" w:rsidP="002A5D13">
      <w:pPr>
        <w:spacing w:after="0" w:line="240" w:lineRule="auto"/>
      </w:pPr>
      <w:r>
        <w:separator/>
      </w:r>
    </w:p>
  </w:endnote>
  <w:endnote w:type="continuationSeparator" w:id="0">
    <w:p w14:paraId="098A848F" w14:textId="77777777" w:rsidR="00F67276" w:rsidRDefault="00F6727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2A60" w14:textId="77777777" w:rsidR="00F67276" w:rsidRDefault="00F67276" w:rsidP="002A5D13">
      <w:pPr>
        <w:spacing w:after="0" w:line="240" w:lineRule="auto"/>
      </w:pPr>
      <w:r>
        <w:separator/>
      </w:r>
    </w:p>
  </w:footnote>
  <w:footnote w:type="continuationSeparator" w:id="0">
    <w:p w14:paraId="106E10C2" w14:textId="77777777" w:rsidR="00F67276" w:rsidRDefault="00F6727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61" w:type="pct"/>
      <w:jc w:val="center"/>
      <w:tblCellMar>
        <w:top w:w="72" w:type="dxa"/>
        <w:left w:w="115" w:type="dxa"/>
        <w:bottom w:w="72" w:type="dxa"/>
        <w:right w:w="115" w:type="dxa"/>
      </w:tblCellMar>
      <w:tblLook w:val="04A0" w:firstRow="1" w:lastRow="0" w:firstColumn="1" w:lastColumn="0" w:noHBand="0" w:noVBand="1"/>
    </w:tblPr>
    <w:tblGrid>
      <w:gridCol w:w="1561"/>
      <w:gridCol w:w="9071"/>
    </w:tblGrid>
    <w:tr w:rsidR="007A7CA7" w14:paraId="53DEEDC8" w14:textId="77777777" w:rsidTr="009E482B">
      <w:trPr>
        <w:jc w:val="center"/>
      </w:trPr>
      <w:tc>
        <w:tcPr>
          <w:tcW w:w="734" w:type="pct"/>
          <w:tcBorders>
            <w:bottom w:val="single" w:sz="4" w:space="0" w:color="auto"/>
          </w:tcBorders>
          <w:shd w:val="clear" w:color="auto" w:fill="6FA681"/>
          <w:vAlign w:val="center"/>
        </w:tcPr>
        <w:p w14:paraId="019660BD" w14:textId="77777777" w:rsidR="004F19D3" w:rsidRDefault="004C3C83" w:rsidP="004C3C83">
          <w:pPr>
            <w:pStyle w:val="Kopfzeile"/>
            <w:jc w:val="center"/>
            <w:rPr>
              <w:b/>
              <w:color w:val="FFFFFF"/>
              <w:sz w:val="24"/>
            </w:rPr>
          </w:pPr>
          <w:r w:rsidRPr="001F58DF">
            <w:rPr>
              <w:b/>
              <w:color w:val="FFFFFF"/>
              <w:sz w:val="24"/>
            </w:rPr>
            <w:t xml:space="preserve">Ausgabe </w:t>
          </w:r>
        </w:p>
        <w:p w14:paraId="3276DAAC" w14:textId="2495850A" w:rsidR="007A7CA7" w:rsidRPr="001F58DF" w:rsidRDefault="004C3C83" w:rsidP="004C3C83">
          <w:pPr>
            <w:pStyle w:val="Kopfzeile"/>
            <w:jc w:val="center"/>
            <w:rPr>
              <w:b/>
              <w:color w:val="FFFFFF"/>
            </w:rPr>
          </w:pPr>
          <w:r w:rsidRPr="001F58DF">
            <w:rPr>
              <w:b/>
              <w:color w:val="FFFFFF"/>
              <w:sz w:val="24"/>
            </w:rPr>
            <w:t>0</w:t>
          </w:r>
          <w:r w:rsidR="00F33CB9">
            <w:rPr>
              <w:b/>
              <w:color w:val="FFFFFF"/>
              <w:sz w:val="24"/>
            </w:rPr>
            <w:t xml:space="preserve">1 </w:t>
          </w:r>
          <w:r w:rsidR="00E37277">
            <w:rPr>
              <w:b/>
              <w:color w:val="FFFFFF"/>
              <w:sz w:val="24"/>
            </w:rPr>
            <w:t>–</w:t>
          </w:r>
          <w:r w:rsidR="007E37F2" w:rsidRPr="001F58DF">
            <w:rPr>
              <w:b/>
              <w:color w:val="FFFFFF"/>
              <w:sz w:val="24"/>
            </w:rPr>
            <w:t xml:space="preserve"> 20</w:t>
          </w:r>
          <w:r w:rsidR="00042C55">
            <w:rPr>
              <w:b/>
              <w:color w:val="FFFFFF"/>
              <w:sz w:val="24"/>
            </w:rPr>
            <w:t>2</w:t>
          </w:r>
          <w:r w:rsidR="00E37277">
            <w:rPr>
              <w:b/>
              <w:color w:val="FFFFFF"/>
              <w:sz w:val="24"/>
            </w:rPr>
            <w:t>6</w:t>
          </w:r>
        </w:p>
      </w:tc>
      <w:tc>
        <w:tcPr>
          <w:tcW w:w="4266" w:type="pct"/>
          <w:tcBorders>
            <w:bottom w:val="single" w:sz="4" w:space="0" w:color="auto"/>
          </w:tcBorders>
          <w:vAlign w:val="bottom"/>
        </w:tcPr>
        <w:p w14:paraId="14AFC2BE" w14:textId="27B1F1B0" w:rsidR="007A7CA7" w:rsidRPr="009E482B" w:rsidRDefault="004F19D3" w:rsidP="004F19D3">
          <w:pPr>
            <w:pStyle w:val="Kopfzeile"/>
            <w:jc w:val="center"/>
            <w:rPr>
              <w:rFonts w:ascii="Arial Rounded MT Bold" w:hAnsi="Arial Rounded MT Bold"/>
              <w:b/>
              <w:bCs/>
              <w:color w:val="911915"/>
              <w:spacing w:val="26"/>
              <w:sz w:val="60"/>
              <w:szCs w:val="60"/>
            </w:rPr>
          </w:pPr>
          <w:r w:rsidRPr="009E482B">
            <w:rPr>
              <w:rFonts w:ascii="Arial Rounded MT Bold" w:hAnsi="Arial Rounded MT Bold"/>
              <w:b/>
              <w:bCs/>
              <w:color w:val="911915"/>
              <w:sz w:val="60"/>
              <w:szCs w:val="60"/>
            </w:rPr>
            <w:t>K</w:t>
          </w:r>
          <w:r w:rsidRPr="009E482B">
            <w:rPr>
              <w:rFonts w:ascii="Arial Rounded MT Bold" w:hAnsi="Arial Rounded MT Bold"/>
              <w:b/>
              <w:bCs/>
              <w:color w:val="911915"/>
              <w:sz w:val="60"/>
              <w:szCs w:val="60"/>
            </w:rPr>
            <w:drawing>
              <wp:inline distT="0" distB="0" distL="0" distR="0" wp14:anchorId="417FF5C1" wp14:editId="09548979">
                <wp:extent cx="219075" cy="223113"/>
                <wp:effectExtent l="0" t="0" r="0" b="5715"/>
                <wp:docPr id="56187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27786" name=""/>
                        <pic:cNvPicPr/>
                      </pic:nvPicPr>
                      <pic:blipFill>
                        <a:blip r:embed="rId1">
                          <a:extLst>
                            <a:ext uri="{28A0092B-C50C-407E-A947-70E740481C1C}">
                              <a14:useLocalDpi xmlns:a14="http://schemas.microsoft.com/office/drawing/2010/main" val="0"/>
                            </a:ext>
                          </a:extLst>
                        </a:blip>
                        <a:stretch>
                          <a:fillRect/>
                        </a:stretch>
                      </pic:blipFill>
                      <pic:spPr>
                        <a:xfrm>
                          <a:off x="0" y="0"/>
                          <a:ext cx="221465" cy="225547"/>
                        </a:xfrm>
                        <a:prstGeom prst="rect">
                          <a:avLst/>
                        </a:prstGeom>
                      </pic:spPr>
                    </pic:pic>
                  </a:graphicData>
                </a:graphic>
              </wp:inline>
            </w:drawing>
          </w:r>
          <w:r w:rsidRPr="009E482B">
            <w:rPr>
              <w:rFonts w:ascii="Arial Rounded MT Bold" w:hAnsi="Arial Rounded MT Bold"/>
              <w:b/>
              <w:bCs/>
              <w:color w:val="911915"/>
              <w:spacing w:val="26"/>
              <w:sz w:val="60"/>
              <w:szCs w:val="60"/>
            </w:rPr>
            <w:t>mpass</w:t>
          </w:r>
          <w:r w:rsidRPr="009E482B">
            <w:rPr>
              <w:rFonts w:ascii="Arial Rounded MT Bold" w:hAnsi="Arial Rounded MT Bold"/>
              <w:b/>
              <w:bCs/>
              <w:color w:val="911915"/>
              <w:spacing w:val="26"/>
              <w:sz w:val="60"/>
              <w:szCs w:val="60"/>
            </w:rPr>
            <w:t xml:space="preserve"> Soziale Betreuung</w:t>
          </w:r>
        </w:p>
        <w:p w14:paraId="35CEA6BA" w14:textId="64E7F155" w:rsidR="007A7CA7" w:rsidRPr="007A7CA7" w:rsidRDefault="004F19D3" w:rsidP="009E482B">
          <w:pPr>
            <w:pStyle w:val="Kopfzeile"/>
            <w:jc w:val="center"/>
            <w:rPr>
              <w:color w:val="000000"/>
              <w:sz w:val="24"/>
            </w:rPr>
          </w:pPr>
          <w:r w:rsidRPr="004F19D3">
            <w:rPr>
              <w:color w:val="000000"/>
              <w:sz w:val="24"/>
            </w:rPr>
            <w:drawing>
              <wp:inline distT="0" distB="0" distL="0" distR="0" wp14:anchorId="31223062" wp14:editId="04913406">
                <wp:extent cx="4981575" cy="162574"/>
                <wp:effectExtent l="0" t="0" r="0" b="8890"/>
                <wp:docPr id="19852749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35858" name=""/>
                        <pic:cNvPicPr/>
                      </pic:nvPicPr>
                      <pic:blipFill>
                        <a:blip r:embed="rId2"/>
                        <a:stretch>
                          <a:fillRect/>
                        </a:stretch>
                      </pic:blipFill>
                      <pic:spPr>
                        <a:xfrm>
                          <a:off x="0" y="0"/>
                          <a:ext cx="5025152" cy="163996"/>
                        </a:xfrm>
                        <a:prstGeom prst="rect">
                          <a:avLst/>
                        </a:prstGeom>
                      </pic:spPr>
                    </pic:pic>
                  </a:graphicData>
                </a:graphic>
              </wp:inline>
            </w:drawing>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825888"/>
    <w:multiLevelType w:val="multilevel"/>
    <w:tmpl w:val="2FE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2580B"/>
    <w:multiLevelType w:val="hybridMultilevel"/>
    <w:tmpl w:val="BA1E9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8428659">
    <w:abstractNumId w:val="9"/>
  </w:num>
  <w:num w:numId="2" w16cid:durableId="514616287">
    <w:abstractNumId w:val="19"/>
  </w:num>
  <w:num w:numId="3" w16cid:durableId="672993835">
    <w:abstractNumId w:val="23"/>
  </w:num>
  <w:num w:numId="4" w16cid:durableId="1964917410">
    <w:abstractNumId w:val="10"/>
  </w:num>
  <w:num w:numId="5" w16cid:durableId="257754659">
    <w:abstractNumId w:val="6"/>
  </w:num>
  <w:num w:numId="6" w16cid:durableId="1922519126">
    <w:abstractNumId w:val="7"/>
  </w:num>
  <w:num w:numId="7" w16cid:durableId="423039792">
    <w:abstractNumId w:val="12"/>
  </w:num>
  <w:num w:numId="8" w16cid:durableId="1662081352">
    <w:abstractNumId w:val="11"/>
  </w:num>
  <w:num w:numId="9" w16cid:durableId="171846214">
    <w:abstractNumId w:val="8"/>
  </w:num>
  <w:num w:numId="10" w16cid:durableId="399602003">
    <w:abstractNumId w:val="5"/>
  </w:num>
  <w:num w:numId="11" w16cid:durableId="659188936">
    <w:abstractNumId w:val="20"/>
  </w:num>
  <w:num w:numId="12" w16cid:durableId="827982070">
    <w:abstractNumId w:val="14"/>
  </w:num>
  <w:num w:numId="13" w16cid:durableId="520627279">
    <w:abstractNumId w:val="15"/>
  </w:num>
  <w:num w:numId="14" w16cid:durableId="1027679413">
    <w:abstractNumId w:val="13"/>
  </w:num>
  <w:num w:numId="15" w16cid:durableId="643313190">
    <w:abstractNumId w:val="16"/>
  </w:num>
  <w:num w:numId="16" w16cid:durableId="1997032567">
    <w:abstractNumId w:val="17"/>
  </w:num>
  <w:num w:numId="17" w16cid:durableId="1256551029">
    <w:abstractNumId w:val="18"/>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 w:numId="23" w16cid:durableId="736628013">
    <w:abstractNumId w:val="21"/>
  </w:num>
  <w:num w:numId="24" w16cid:durableId="974288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2778E"/>
    <w:rsid w:val="00140117"/>
    <w:rsid w:val="0015409B"/>
    <w:rsid w:val="001B429B"/>
    <w:rsid w:val="001F58DF"/>
    <w:rsid w:val="002018CE"/>
    <w:rsid w:val="002028CB"/>
    <w:rsid w:val="00204F2E"/>
    <w:rsid w:val="00205D0C"/>
    <w:rsid w:val="00205D65"/>
    <w:rsid w:val="002162C4"/>
    <w:rsid w:val="002532F6"/>
    <w:rsid w:val="0027096C"/>
    <w:rsid w:val="002766CF"/>
    <w:rsid w:val="0028515F"/>
    <w:rsid w:val="0029390F"/>
    <w:rsid w:val="002A5D13"/>
    <w:rsid w:val="002B029B"/>
    <w:rsid w:val="002B4419"/>
    <w:rsid w:val="002D45E4"/>
    <w:rsid w:val="002E0A67"/>
    <w:rsid w:val="002E4378"/>
    <w:rsid w:val="00361D40"/>
    <w:rsid w:val="003676E3"/>
    <w:rsid w:val="00380EF0"/>
    <w:rsid w:val="003E3400"/>
    <w:rsid w:val="00433F51"/>
    <w:rsid w:val="004639C0"/>
    <w:rsid w:val="004955F6"/>
    <w:rsid w:val="004A47F9"/>
    <w:rsid w:val="004C2396"/>
    <w:rsid w:val="004C3C83"/>
    <w:rsid w:val="004F19D3"/>
    <w:rsid w:val="00551B88"/>
    <w:rsid w:val="00587D31"/>
    <w:rsid w:val="005D2CD9"/>
    <w:rsid w:val="00614D0A"/>
    <w:rsid w:val="00624117"/>
    <w:rsid w:val="00653E72"/>
    <w:rsid w:val="00661981"/>
    <w:rsid w:val="006A5CFE"/>
    <w:rsid w:val="006E18EF"/>
    <w:rsid w:val="00707D97"/>
    <w:rsid w:val="007A7CA7"/>
    <w:rsid w:val="007B0290"/>
    <w:rsid w:val="007C0AE5"/>
    <w:rsid w:val="007C7F73"/>
    <w:rsid w:val="007E1A2E"/>
    <w:rsid w:val="007E37F2"/>
    <w:rsid w:val="00841FA8"/>
    <w:rsid w:val="00852BFB"/>
    <w:rsid w:val="008633AC"/>
    <w:rsid w:val="00864BA0"/>
    <w:rsid w:val="00871FB0"/>
    <w:rsid w:val="00887070"/>
    <w:rsid w:val="008E62B1"/>
    <w:rsid w:val="00937B0B"/>
    <w:rsid w:val="009433D9"/>
    <w:rsid w:val="00983536"/>
    <w:rsid w:val="00986C94"/>
    <w:rsid w:val="009A5A09"/>
    <w:rsid w:val="009B721F"/>
    <w:rsid w:val="009C2A77"/>
    <w:rsid w:val="009E482B"/>
    <w:rsid w:val="00A02CC6"/>
    <w:rsid w:val="00A06C64"/>
    <w:rsid w:val="00A44674"/>
    <w:rsid w:val="00A719BA"/>
    <w:rsid w:val="00AB1450"/>
    <w:rsid w:val="00AD39D1"/>
    <w:rsid w:val="00B01FFE"/>
    <w:rsid w:val="00B707AF"/>
    <w:rsid w:val="00B7217F"/>
    <w:rsid w:val="00B87D52"/>
    <w:rsid w:val="00BD71E9"/>
    <w:rsid w:val="00BF1B9A"/>
    <w:rsid w:val="00C310AF"/>
    <w:rsid w:val="00C73E1A"/>
    <w:rsid w:val="00CC38C8"/>
    <w:rsid w:val="00DB32C7"/>
    <w:rsid w:val="00E2265E"/>
    <w:rsid w:val="00E2613A"/>
    <w:rsid w:val="00E37277"/>
    <w:rsid w:val="00EE0E3D"/>
    <w:rsid w:val="00F20663"/>
    <w:rsid w:val="00F33CB9"/>
    <w:rsid w:val="00F6696F"/>
    <w:rsid w:val="00F67276"/>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AB1450"/>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2026-01-28T11:23:00Z</dcterms:created>
  <dcterms:modified xsi:type="dcterms:W3CDTF">2026-01-28T11:23:00Z</dcterms:modified>
</cp:coreProperties>
</file>