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70CCC38C" w14:textId="77777777" w:rsidR="00B47B9F" w:rsidRDefault="00B47B9F" w:rsidP="00C73E1A"/>
    <w:p w14:paraId="32271E54" w14:textId="77777777" w:rsidR="00C00AB3" w:rsidRDefault="00C00AB3" w:rsidP="00C73E1A"/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2694"/>
        <w:gridCol w:w="4961"/>
      </w:tblGrid>
      <w:tr w:rsidR="00C00AB3" w:rsidRPr="00C00AB3" w14:paraId="29D41FE1" w14:textId="77777777" w:rsidTr="00C00AB3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9519" w:type="dxa"/>
            <w:gridSpan w:val="3"/>
            <w:shd w:val="clear" w:color="auto" w:fill="006793"/>
          </w:tcPr>
          <w:p w14:paraId="5A3B23AA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00AB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Ursachen und Lösungen zur Verbesserung des Unternehmensergebnisses </w:t>
            </w:r>
          </w:p>
        </w:tc>
      </w:tr>
      <w:tr w:rsidR="00C00AB3" w:rsidRPr="00C00AB3" w14:paraId="68C37167" w14:textId="77777777" w:rsidTr="00C00AB3">
        <w:tblPrEx>
          <w:tblCellMar>
            <w:top w:w="0" w:type="dxa"/>
            <w:bottom w:w="0" w:type="dxa"/>
          </w:tblCellMar>
        </w:tblPrEx>
        <w:trPr>
          <w:trHeight w:val="105"/>
          <w:jc w:val="center"/>
        </w:trPr>
        <w:tc>
          <w:tcPr>
            <w:tcW w:w="1864" w:type="dxa"/>
            <w:shd w:val="clear" w:color="auto" w:fill="FCCBA2"/>
          </w:tcPr>
          <w:p w14:paraId="49D7BC86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C00AB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Bereich </w:t>
            </w:r>
          </w:p>
        </w:tc>
        <w:tc>
          <w:tcPr>
            <w:tcW w:w="2694" w:type="dxa"/>
            <w:shd w:val="clear" w:color="auto" w:fill="FCCBA2"/>
          </w:tcPr>
          <w:p w14:paraId="74684CF3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C00AB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Ursachen </w:t>
            </w:r>
          </w:p>
        </w:tc>
        <w:tc>
          <w:tcPr>
            <w:tcW w:w="4961" w:type="dxa"/>
            <w:shd w:val="clear" w:color="auto" w:fill="FCCBA2"/>
          </w:tcPr>
          <w:p w14:paraId="605CF22C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C00AB3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Lösungen </w:t>
            </w:r>
          </w:p>
        </w:tc>
      </w:tr>
      <w:tr w:rsidR="00C00AB3" w:rsidRPr="00C00AB3" w14:paraId="6296753B" w14:textId="77777777" w:rsidTr="00C00AB3">
        <w:tblPrEx>
          <w:tblCellMar>
            <w:top w:w="0" w:type="dxa"/>
            <w:bottom w:w="0" w:type="dxa"/>
          </w:tblCellMar>
        </w:tblPrEx>
        <w:trPr>
          <w:trHeight w:val="208"/>
          <w:jc w:val="center"/>
        </w:trPr>
        <w:tc>
          <w:tcPr>
            <w:tcW w:w="1864" w:type="dxa"/>
            <w:vMerge w:val="restart"/>
          </w:tcPr>
          <w:p w14:paraId="2CE25A14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§ 36.3 SGB XI </w:t>
            </w:r>
          </w:p>
        </w:tc>
        <w:tc>
          <w:tcPr>
            <w:tcW w:w="2694" w:type="dxa"/>
          </w:tcPr>
          <w:p w14:paraId="02A68D0F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schwache Vergütung </w:t>
            </w:r>
          </w:p>
        </w:tc>
        <w:tc>
          <w:tcPr>
            <w:tcW w:w="4961" w:type="dxa"/>
          </w:tcPr>
          <w:p w14:paraId="4A7E191E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Einzelverhandlung mit Pflegekassen führen </w:t>
            </w:r>
          </w:p>
        </w:tc>
      </w:tr>
      <w:tr w:rsidR="00C00AB3" w:rsidRPr="00C00AB3" w14:paraId="6EF88C94" w14:textId="77777777" w:rsidTr="00C00AB3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864" w:type="dxa"/>
            <w:vMerge/>
          </w:tcPr>
          <w:p w14:paraId="411C4767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74EC14A1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>Blindleistun</w:t>
            </w:r>
            <w:r w:rsidRPr="00C00AB3">
              <w:rPr>
                <w:rFonts w:ascii="Arial" w:hAnsi="Arial" w:cs="Arial"/>
                <w:color w:val="000000"/>
                <w:sz w:val="24"/>
              </w:rPr>
              <w:softHyphen/>
              <w:t xml:space="preserve">gen vor Ort </w:t>
            </w:r>
          </w:p>
        </w:tc>
        <w:tc>
          <w:tcPr>
            <w:tcW w:w="4961" w:type="dxa"/>
          </w:tcPr>
          <w:p w14:paraId="7CC34038" w14:textId="54855338" w:rsidR="00C00AB3" w:rsidRPr="00C00AB3" w:rsidRDefault="00C00AB3" w:rsidP="00C00AB3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325" w:hanging="219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Pflegevisiten und Fallbesprechungen durchführen </w:t>
            </w:r>
          </w:p>
          <w:p w14:paraId="79E20577" w14:textId="19D67405" w:rsidR="00C00AB3" w:rsidRPr="00C00AB3" w:rsidRDefault="00C00AB3" w:rsidP="00C00AB3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325" w:hanging="219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>Angebotserweiterun</w:t>
            </w:r>
            <w:r w:rsidRPr="00C00AB3">
              <w:rPr>
                <w:rFonts w:ascii="Arial" w:hAnsi="Arial" w:cs="Arial"/>
                <w:color w:val="000000"/>
                <w:sz w:val="24"/>
              </w:rPr>
              <w:softHyphen/>
              <w:t xml:space="preserve">gen erstellen </w:t>
            </w:r>
          </w:p>
        </w:tc>
      </w:tr>
      <w:tr w:rsidR="00C00AB3" w:rsidRPr="00C00AB3" w14:paraId="0E728D7D" w14:textId="77777777" w:rsidTr="00C00AB3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1864" w:type="dxa"/>
            <w:vMerge/>
          </w:tcPr>
          <w:p w14:paraId="50360EC3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694" w:type="dxa"/>
          </w:tcPr>
          <w:p w14:paraId="44E13890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defizitäre Kunden </w:t>
            </w:r>
          </w:p>
        </w:tc>
        <w:tc>
          <w:tcPr>
            <w:tcW w:w="4961" w:type="dxa"/>
          </w:tcPr>
          <w:p w14:paraId="37C7A450" w14:textId="532DB424" w:rsidR="00C00AB3" w:rsidRPr="00C00AB3" w:rsidRDefault="00C00AB3" w:rsidP="00C00AB3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325" w:hanging="219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defizitäre Kunden identifizieren </w:t>
            </w:r>
          </w:p>
          <w:p w14:paraId="00F761FD" w14:textId="1B649821" w:rsidR="00C00AB3" w:rsidRPr="00C00AB3" w:rsidRDefault="00C00AB3" w:rsidP="00C00AB3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325" w:hanging="219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>wirtschaftliche Ange</w:t>
            </w:r>
            <w:r w:rsidRPr="00C00AB3">
              <w:rPr>
                <w:rFonts w:ascii="Arial" w:hAnsi="Arial" w:cs="Arial"/>
                <w:color w:val="000000"/>
                <w:sz w:val="24"/>
              </w:rPr>
              <w:softHyphen/>
              <w:t xml:space="preserve">bote unterbreiten </w:t>
            </w:r>
          </w:p>
          <w:p w14:paraId="44A1CE42" w14:textId="7D2CF5AA" w:rsidR="00C00AB3" w:rsidRPr="00C00AB3" w:rsidRDefault="00C00AB3" w:rsidP="00C00AB3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325" w:hanging="219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>bei Ablehnung kün</w:t>
            </w:r>
            <w:r w:rsidRPr="00C00AB3">
              <w:rPr>
                <w:rFonts w:ascii="Arial" w:hAnsi="Arial" w:cs="Arial"/>
                <w:color w:val="000000"/>
                <w:sz w:val="24"/>
              </w:rPr>
              <w:softHyphen/>
              <w:t xml:space="preserve">digen </w:t>
            </w:r>
          </w:p>
        </w:tc>
      </w:tr>
      <w:tr w:rsidR="00C00AB3" w:rsidRPr="00C00AB3" w14:paraId="118724C0" w14:textId="77777777" w:rsidTr="00C00AB3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864" w:type="dxa"/>
          </w:tcPr>
          <w:p w14:paraId="5BAAA590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§ 37.3 SGB XI </w:t>
            </w:r>
          </w:p>
        </w:tc>
        <w:tc>
          <w:tcPr>
            <w:tcW w:w="2694" w:type="dxa"/>
          </w:tcPr>
          <w:p w14:paraId="3C9E6525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>attraktive Ver</w:t>
            </w:r>
            <w:r w:rsidRPr="00C00AB3">
              <w:rPr>
                <w:rFonts w:ascii="Arial" w:hAnsi="Arial" w:cs="Arial"/>
                <w:color w:val="000000"/>
                <w:sz w:val="24"/>
              </w:rPr>
              <w:softHyphen/>
              <w:t xml:space="preserve">gütung </w:t>
            </w:r>
          </w:p>
        </w:tc>
        <w:tc>
          <w:tcPr>
            <w:tcW w:w="4961" w:type="dxa"/>
          </w:tcPr>
          <w:p w14:paraId="239B227F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Ausbau der reinen §-37.3-Kunden durch massive Akquise </w:t>
            </w:r>
          </w:p>
        </w:tc>
      </w:tr>
      <w:tr w:rsidR="00C00AB3" w:rsidRPr="00C00AB3" w14:paraId="15D542A5" w14:textId="77777777" w:rsidTr="00C00AB3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1864" w:type="dxa"/>
          </w:tcPr>
          <w:p w14:paraId="08999F96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§ 45b SGB XI </w:t>
            </w:r>
          </w:p>
        </w:tc>
        <w:tc>
          <w:tcPr>
            <w:tcW w:w="2694" w:type="dxa"/>
          </w:tcPr>
          <w:p w14:paraId="088BFC10" w14:textId="77777777" w:rsidR="00C00AB3" w:rsidRPr="00C00AB3" w:rsidRDefault="00C00AB3" w:rsidP="00C00AB3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>schwache Vergütung, starre Zeit</w:t>
            </w:r>
            <w:r w:rsidRPr="00C00AB3">
              <w:rPr>
                <w:rFonts w:ascii="Arial" w:hAnsi="Arial" w:cs="Arial"/>
                <w:color w:val="000000"/>
                <w:sz w:val="24"/>
              </w:rPr>
              <w:softHyphen/>
              <w:t xml:space="preserve">vorgabe der Kostenträger </w:t>
            </w:r>
          </w:p>
        </w:tc>
        <w:tc>
          <w:tcPr>
            <w:tcW w:w="4961" w:type="dxa"/>
          </w:tcPr>
          <w:p w14:paraId="3E590F69" w14:textId="6F2FE510" w:rsidR="00C00AB3" w:rsidRPr="00C00AB3" w:rsidRDefault="00C00AB3" w:rsidP="00C00AB3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325" w:hanging="219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 xml:space="preserve">Bereich streichen oder </w:t>
            </w:r>
          </w:p>
          <w:p w14:paraId="188733A7" w14:textId="40D96621" w:rsidR="00C00AB3" w:rsidRPr="00C00AB3" w:rsidRDefault="00C00AB3" w:rsidP="00C00AB3">
            <w:pPr>
              <w:pStyle w:val="Listenabsatz"/>
              <w:numPr>
                <w:ilvl w:val="0"/>
                <w:numId w:val="35"/>
              </w:numPr>
              <w:spacing w:before="120" w:after="120" w:line="276" w:lineRule="auto"/>
              <w:ind w:left="325" w:hanging="219"/>
              <w:rPr>
                <w:rFonts w:ascii="Arial" w:hAnsi="Arial" w:cs="Arial"/>
                <w:color w:val="000000"/>
                <w:sz w:val="24"/>
              </w:rPr>
            </w:pPr>
            <w:r w:rsidRPr="00C00AB3">
              <w:rPr>
                <w:rFonts w:ascii="Arial" w:hAnsi="Arial" w:cs="Arial"/>
                <w:color w:val="000000"/>
                <w:sz w:val="24"/>
              </w:rPr>
              <w:t>Bereich massiv ein</w:t>
            </w:r>
            <w:r w:rsidRPr="00C00AB3">
              <w:rPr>
                <w:rFonts w:ascii="Arial" w:hAnsi="Arial" w:cs="Arial"/>
                <w:color w:val="000000"/>
                <w:sz w:val="24"/>
              </w:rPr>
              <w:softHyphen/>
              <w:t>kürzen</w:t>
            </w:r>
          </w:p>
        </w:tc>
      </w:tr>
    </w:tbl>
    <w:p w14:paraId="5B53AF92" w14:textId="77777777" w:rsidR="00C00AB3" w:rsidRPr="00C00AB3" w:rsidRDefault="00C00AB3" w:rsidP="00C00AB3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C00AB3" w:rsidRPr="00C00AB3" w:rsidSect="00A41BF1">
      <w:headerReference w:type="default" r:id="rId9"/>
      <w:pgSz w:w="11906" w:h="16838" w:code="9"/>
      <w:pgMar w:top="-576" w:right="1418" w:bottom="14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AE20" w14:textId="77777777" w:rsidR="00CF1931" w:rsidRDefault="00CF1931" w:rsidP="002A5D13">
      <w:pPr>
        <w:spacing w:after="0" w:line="240" w:lineRule="auto"/>
      </w:pPr>
      <w:r>
        <w:separator/>
      </w:r>
    </w:p>
  </w:endnote>
  <w:endnote w:type="continuationSeparator" w:id="0">
    <w:p w14:paraId="7380CF4E" w14:textId="77777777" w:rsidR="00CF1931" w:rsidRDefault="00CF193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484A" w14:textId="77777777" w:rsidR="00CF1931" w:rsidRDefault="00CF1931" w:rsidP="002A5D13">
      <w:pPr>
        <w:spacing w:after="0" w:line="240" w:lineRule="auto"/>
      </w:pPr>
      <w:r>
        <w:separator/>
      </w:r>
    </w:p>
  </w:footnote>
  <w:footnote w:type="continuationSeparator" w:id="0">
    <w:p w14:paraId="24E88C65" w14:textId="77777777" w:rsidR="00CF1931" w:rsidRDefault="00CF193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1E12CF6F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F82C0D">
            <w:rPr>
              <w:b/>
              <w:color w:val="FFFFFF"/>
              <w:sz w:val="24"/>
            </w:rPr>
            <w:t>2</w:t>
          </w:r>
          <w:r>
            <w:rPr>
              <w:b/>
              <w:color w:val="FFFFFF"/>
              <w:sz w:val="24"/>
            </w:rPr>
            <w:t xml:space="preserve"> </w:t>
          </w:r>
          <w:r w:rsidR="00B47B9F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  <w:r w:rsidR="00B47B9F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116949292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6C0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BA2D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8396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9E81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9A1C23"/>
    <w:multiLevelType w:val="hybridMultilevel"/>
    <w:tmpl w:val="68922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D809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51E3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D45EE2"/>
    <w:multiLevelType w:val="hybridMultilevel"/>
    <w:tmpl w:val="87F65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B36B4"/>
    <w:multiLevelType w:val="hybridMultilevel"/>
    <w:tmpl w:val="A7EE0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71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EE3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DFB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D1B6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8021475">
    <w:abstractNumId w:val="17"/>
  </w:num>
  <w:num w:numId="2" w16cid:durableId="1804158717">
    <w:abstractNumId w:val="29"/>
  </w:num>
  <w:num w:numId="3" w16cid:durableId="1548251974">
    <w:abstractNumId w:val="33"/>
  </w:num>
  <w:num w:numId="4" w16cid:durableId="869875702">
    <w:abstractNumId w:val="19"/>
  </w:num>
  <w:num w:numId="5" w16cid:durableId="1526597782">
    <w:abstractNumId w:val="11"/>
  </w:num>
  <w:num w:numId="6" w16cid:durableId="867765150">
    <w:abstractNumId w:val="15"/>
  </w:num>
  <w:num w:numId="7" w16cid:durableId="1798405097">
    <w:abstractNumId w:val="22"/>
  </w:num>
  <w:num w:numId="8" w16cid:durableId="388921494">
    <w:abstractNumId w:val="21"/>
  </w:num>
  <w:num w:numId="9" w16cid:durableId="1308784843">
    <w:abstractNumId w:val="16"/>
  </w:num>
  <w:num w:numId="10" w16cid:durableId="998121745">
    <w:abstractNumId w:val="8"/>
  </w:num>
  <w:num w:numId="11" w16cid:durableId="1808205416">
    <w:abstractNumId w:val="31"/>
  </w:num>
  <w:num w:numId="12" w16cid:durableId="210113988">
    <w:abstractNumId w:val="24"/>
  </w:num>
  <w:num w:numId="13" w16cid:durableId="1970042432">
    <w:abstractNumId w:val="25"/>
  </w:num>
  <w:num w:numId="14" w16cid:durableId="1035348882">
    <w:abstractNumId w:val="23"/>
  </w:num>
  <w:num w:numId="15" w16cid:durableId="300035607">
    <w:abstractNumId w:val="26"/>
  </w:num>
  <w:num w:numId="16" w16cid:durableId="978144461">
    <w:abstractNumId w:val="27"/>
  </w:num>
  <w:num w:numId="17" w16cid:durableId="638414688">
    <w:abstractNumId w:val="28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1795439082">
    <w:abstractNumId w:val="32"/>
  </w:num>
  <w:num w:numId="24" w16cid:durableId="68506711">
    <w:abstractNumId w:val="34"/>
  </w:num>
  <w:num w:numId="25" w16cid:durableId="1270510060">
    <w:abstractNumId w:val="1"/>
  </w:num>
  <w:num w:numId="26" w16cid:durableId="1283611134">
    <w:abstractNumId w:val="12"/>
  </w:num>
  <w:num w:numId="27" w16cid:durableId="765535007">
    <w:abstractNumId w:val="13"/>
  </w:num>
  <w:num w:numId="28" w16cid:durableId="168371429">
    <w:abstractNumId w:val="30"/>
  </w:num>
  <w:num w:numId="29" w16cid:durableId="413741808">
    <w:abstractNumId w:val="20"/>
  </w:num>
  <w:num w:numId="30" w16cid:durableId="1640649902">
    <w:abstractNumId w:val="0"/>
  </w:num>
  <w:num w:numId="31" w16cid:durableId="1492717170">
    <w:abstractNumId w:val="2"/>
  </w:num>
  <w:num w:numId="32" w16cid:durableId="1627809187">
    <w:abstractNumId w:val="9"/>
  </w:num>
  <w:num w:numId="33" w16cid:durableId="377899683">
    <w:abstractNumId w:val="14"/>
  </w:num>
  <w:num w:numId="34" w16cid:durableId="688532609">
    <w:abstractNumId w:val="10"/>
  </w:num>
  <w:num w:numId="35" w16cid:durableId="18600015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3F21B4"/>
    <w:rsid w:val="00433F51"/>
    <w:rsid w:val="0045558D"/>
    <w:rsid w:val="004639C0"/>
    <w:rsid w:val="004955F6"/>
    <w:rsid w:val="00496C3D"/>
    <w:rsid w:val="004A47F9"/>
    <w:rsid w:val="004C2396"/>
    <w:rsid w:val="004E3CDA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C41D7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50F7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41BF1"/>
    <w:rsid w:val="00AB1A45"/>
    <w:rsid w:val="00AC4A16"/>
    <w:rsid w:val="00B01FFE"/>
    <w:rsid w:val="00B47B9F"/>
    <w:rsid w:val="00B707AF"/>
    <w:rsid w:val="00B77525"/>
    <w:rsid w:val="00B87D52"/>
    <w:rsid w:val="00BB2A0A"/>
    <w:rsid w:val="00BD71E9"/>
    <w:rsid w:val="00BF7A72"/>
    <w:rsid w:val="00C00AB3"/>
    <w:rsid w:val="00C310AF"/>
    <w:rsid w:val="00C73E1A"/>
    <w:rsid w:val="00CC38C8"/>
    <w:rsid w:val="00CF1931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2026-01-07T11:09:00Z</dcterms:created>
  <dcterms:modified xsi:type="dcterms:W3CDTF">2026-01-07T11:09:00Z</dcterms:modified>
</cp:coreProperties>
</file>