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84E1" w14:textId="77777777" w:rsidR="009D000C" w:rsidRDefault="009D000C" w:rsidP="009D000C">
      <w:pPr>
        <w:tabs>
          <w:tab w:val="left" w:pos="5280"/>
        </w:tabs>
        <w:rPr>
          <w:b/>
          <w:noProof/>
          <w:lang w:eastAsia="de-DE"/>
        </w:rPr>
      </w:pPr>
    </w:p>
    <w:p w14:paraId="468938CF" w14:textId="075DB1FE" w:rsidR="001F4D8B" w:rsidRPr="001F4D8B" w:rsidRDefault="001F4D8B" w:rsidP="001F4D8B">
      <w:pPr>
        <w:spacing w:before="120" w:after="120"/>
        <w:rPr>
          <w:rFonts w:ascii="Arial" w:hAnsi="Arial" w:cs="Arial"/>
          <w:color w:val="000000" w:themeColor="text1"/>
          <w:sz w:val="24"/>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2"/>
        <w:gridCol w:w="5059"/>
      </w:tblGrid>
      <w:tr w:rsidR="001F4D8B" w:rsidRPr="001F4D8B" w14:paraId="7D4329F4" w14:textId="77777777" w:rsidTr="00BE24C6">
        <w:trPr>
          <w:trHeight w:val="107"/>
          <w:jc w:val="center"/>
        </w:trPr>
        <w:tc>
          <w:tcPr>
            <w:tcW w:w="10111" w:type="dxa"/>
            <w:gridSpan w:val="2"/>
            <w:shd w:val="clear" w:color="auto" w:fill="0099CC"/>
          </w:tcPr>
          <w:p w14:paraId="0427931B" w14:textId="4D43D12B" w:rsidR="001F4D8B" w:rsidRPr="001F4D8B" w:rsidRDefault="001F4D8B" w:rsidP="001F4D8B">
            <w:pPr>
              <w:spacing w:before="120" w:after="120"/>
              <w:rPr>
                <w:rFonts w:ascii="Arial" w:hAnsi="Arial" w:cs="Arial"/>
                <w:b/>
                <w:color w:val="FFFFFF"/>
                <w:sz w:val="28"/>
                <w:szCs w:val="28"/>
              </w:rPr>
            </w:pPr>
            <w:r w:rsidRPr="001F4D8B">
              <w:rPr>
                <w:rFonts w:ascii="Arial" w:hAnsi="Arial" w:cs="Arial"/>
                <w:b/>
                <w:color w:val="FFFFFF"/>
                <w:sz w:val="28"/>
                <w:szCs w:val="28"/>
              </w:rPr>
              <w:t xml:space="preserve">Übersicht: Gefährdung </w:t>
            </w:r>
            <w:r>
              <w:rPr>
                <w:rFonts w:ascii="Arial" w:hAnsi="Arial" w:cs="Arial"/>
                <w:b/>
                <w:color w:val="FFFFFF"/>
                <w:sz w:val="28"/>
                <w:szCs w:val="28"/>
              </w:rPr>
              <w:t>d</w:t>
            </w:r>
            <w:r w:rsidRPr="001F4D8B">
              <w:rPr>
                <w:rFonts w:ascii="Arial" w:hAnsi="Arial" w:cs="Arial"/>
                <w:b/>
                <w:color w:val="FFFFFF"/>
                <w:sz w:val="28"/>
                <w:szCs w:val="28"/>
              </w:rPr>
              <w:t>urch „Blaue Überzieher“</w:t>
            </w:r>
          </w:p>
        </w:tc>
      </w:tr>
      <w:tr w:rsidR="001F4D8B" w:rsidRPr="001F4D8B" w14:paraId="1CC9AF03" w14:textId="77777777" w:rsidTr="00BE24C6">
        <w:trPr>
          <w:trHeight w:val="107"/>
          <w:jc w:val="center"/>
        </w:trPr>
        <w:tc>
          <w:tcPr>
            <w:tcW w:w="5052" w:type="dxa"/>
            <w:shd w:val="clear" w:color="auto" w:fill="DAEEF3"/>
          </w:tcPr>
          <w:p w14:paraId="19553E62" w14:textId="77777777" w:rsidR="001F4D8B" w:rsidRPr="001F4D8B" w:rsidRDefault="001F4D8B" w:rsidP="001F4D8B">
            <w:pPr>
              <w:spacing w:before="120" w:after="120"/>
              <w:ind w:left="-31"/>
              <w:rPr>
                <w:rFonts w:ascii="Arial" w:hAnsi="Arial" w:cs="Arial"/>
                <w:b/>
                <w:bCs/>
                <w:color w:val="000000" w:themeColor="text1"/>
                <w:sz w:val="24"/>
              </w:rPr>
            </w:pPr>
            <w:r w:rsidRPr="001F4D8B">
              <w:rPr>
                <w:rFonts w:ascii="Arial" w:hAnsi="Arial" w:cs="Arial"/>
                <w:b/>
                <w:bCs/>
                <w:color w:val="000000" w:themeColor="text1"/>
                <w:sz w:val="24"/>
              </w:rPr>
              <w:t xml:space="preserve">Gefährdung durch Überziehschuhe </w:t>
            </w:r>
          </w:p>
        </w:tc>
        <w:tc>
          <w:tcPr>
            <w:tcW w:w="5059" w:type="dxa"/>
            <w:shd w:val="clear" w:color="auto" w:fill="DAEEF3"/>
          </w:tcPr>
          <w:p w14:paraId="7646FFA1" w14:textId="77777777" w:rsidR="001F4D8B" w:rsidRPr="001F4D8B" w:rsidRDefault="001F4D8B" w:rsidP="001F4D8B">
            <w:pPr>
              <w:spacing w:before="120" w:after="120"/>
              <w:ind w:left="-31"/>
              <w:rPr>
                <w:rFonts w:ascii="Arial" w:hAnsi="Arial" w:cs="Arial"/>
                <w:b/>
                <w:bCs/>
                <w:color w:val="000000" w:themeColor="text1"/>
                <w:sz w:val="24"/>
              </w:rPr>
            </w:pPr>
            <w:r w:rsidRPr="001F4D8B">
              <w:rPr>
                <w:rFonts w:ascii="Arial" w:hAnsi="Arial" w:cs="Arial"/>
                <w:b/>
                <w:bCs/>
                <w:color w:val="000000" w:themeColor="text1"/>
                <w:sz w:val="24"/>
              </w:rPr>
              <w:t xml:space="preserve">Gefährdung minimieren </w:t>
            </w:r>
          </w:p>
        </w:tc>
      </w:tr>
      <w:tr w:rsidR="001F4D8B" w:rsidRPr="001F4D8B" w14:paraId="7DE347FB" w14:textId="77777777" w:rsidTr="00BE24C6">
        <w:trPr>
          <w:trHeight w:val="930"/>
          <w:jc w:val="center"/>
        </w:trPr>
        <w:tc>
          <w:tcPr>
            <w:tcW w:w="5052" w:type="dxa"/>
          </w:tcPr>
          <w:p w14:paraId="004BD2BF" w14:textId="7F60B8BC"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b/>
                <w:bCs/>
                <w:color w:val="000000" w:themeColor="text1"/>
                <w:sz w:val="24"/>
              </w:rPr>
              <w:t xml:space="preserve">Fehlende Standfestigkeit und Ausrutschen: </w:t>
            </w:r>
            <w:r w:rsidRPr="001F4D8B">
              <w:rPr>
                <w:rFonts w:ascii="Arial" w:hAnsi="Arial" w:cs="Arial"/>
                <w:color w:val="000000" w:themeColor="text1"/>
                <w:sz w:val="24"/>
              </w:rPr>
              <w:t xml:space="preserve">Die Überzieher sind aus Plastikfolie gefertigt und somit nicht rutschfest. So haben die Mitarbeiter bei der Durchführung der Pflegemaßnahmen einen weniger sicheren Stand. Dadurch besteht stets die Gefahr, dass die Mitarbeiter ausrutschen. Daher ist das Tragen rutschiger Folien unter den Schuhen nicht akzeptabel. </w:t>
            </w:r>
          </w:p>
        </w:tc>
        <w:tc>
          <w:tcPr>
            <w:tcW w:w="5059" w:type="dxa"/>
          </w:tcPr>
          <w:p w14:paraId="77E095E4" w14:textId="6BD8AB50"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color w:val="000000" w:themeColor="text1"/>
                <w:sz w:val="24"/>
              </w:rPr>
              <w:t xml:space="preserve">Standfestigkeit kann erreicht und das Ausrutschen vermieden werden, wenn die Folien der Überzieher auf beiden Seiten den gleichen oder einen vergleichbaren Reibwert haben wie die Schuhsohlen selbst. </w:t>
            </w:r>
          </w:p>
        </w:tc>
      </w:tr>
      <w:tr w:rsidR="001F4D8B" w:rsidRPr="001F4D8B" w14:paraId="5A9BC193" w14:textId="77777777" w:rsidTr="00BE24C6">
        <w:trPr>
          <w:trHeight w:val="1033"/>
          <w:jc w:val="center"/>
        </w:trPr>
        <w:tc>
          <w:tcPr>
            <w:tcW w:w="5052" w:type="dxa"/>
          </w:tcPr>
          <w:p w14:paraId="134D7607" w14:textId="63C4556A"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b/>
                <w:bCs/>
                <w:color w:val="000000" w:themeColor="text1"/>
                <w:sz w:val="24"/>
              </w:rPr>
              <w:t xml:space="preserve">Stürze beim An- und Ablegen: </w:t>
            </w:r>
            <w:r w:rsidRPr="001F4D8B">
              <w:rPr>
                <w:rFonts w:ascii="Arial" w:hAnsi="Arial" w:cs="Arial"/>
                <w:color w:val="000000" w:themeColor="text1"/>
                <w:sz w:val="24"/>
              </w:rPr>
              <w:t>Wenn Ihre Mitarbeiter vor der Haustür oder im Flur Ihres Pflegekunden die „Überzieher“ an- oder able</w:t>
            </w:r>
            <w:r w:rsidRPr="001F4D8B">
              <w:rPr>
                <w:rFonts w:ascii="Arial" w:hAnsi="Arial" w:cs="Arial"/>
                <w:color w:val="000000" w:themeColor="text1"/>
                <w:sz w:val="24"/>
              </w:rPr>
              <w:softHyphen/>
              <w:t>gen, tun sie dies im Stehen. Das bedeutet, dass Ihre Mitarbeiter bei dieser Tätigkeit das Gleichgewicht verlieren können. Durch die Erhöhung der Sturzgefahr Ihrer Mitarbeiter ist das An-</w:t>
            </w:r>
            <w:r>
              <w:rPr>
                <w:rFonts w:ascii="Arial" w:hAnsi="Arial" w:cs="Arial"/>
                <w:color w:val="000000" w:themeColor="text1"/>
                <w:sz w:val="24"/>
              </w:rPr>
              <w:t xml:space="preserve"> </w:t>
            </w:r>
            <w:r w:rsidRPr="001F4D8B">
              <w:rPr>
                <w:rFonts w:ascii="Arial" w:hAnsi="Arial" w:cs="Arial"/>
                <w:color w:val="000000" w:themeColor="text1"/>
                <w:sz w:val="24"/>
              </w:rPr>
              <w:t xml:space="preserve">und Ablegen von „blauen Überziehern“ im Stehen nicht akzeptabel. </w:t>
            </w:r>
          </w:p>
        </w:tc>
        <w:tc>
          <w:tcPr>
            <w:tcW w:w="5059" w:type="dxa"/>
          </w:tcPr>
          <w:p w14:paraId="1DB5982D" w14:textId="126180EC"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color w:val="000000" w:themeColor="text1"/>
                <w:sz w:val="24"/>
              </w:rPr>
              <w:t xml:space="preserve">Die Gefahr eines Sturzes beim An- oder Ablegen der Überzieher kann minimiert werden, wenn dem Mitarbeiter ein standfester Stuhl neben den Wohnungseingang gestellt wird, auf den sich der Mitarbeiter beim An- oder Ablegen der Überschuhe setzen kann. </w:t>
            </w:r>
          </w:p>
        </w:tc>
      </w:tr>
      <w:tr w:rsidR="001F4D8B" w:rsidRPr="001F4D8B" w14:paraId="2A4CB500" w14:textId="77777777" w:rsidTr="00BE24C6">
        <w:trPr>
          <w:trHeight w:val="1135"/>
          <w:jc w:val="center"/>
        </w:trPr>
        <w:tc>
          <w:tcPr>
            <w:tcW w:w="5052" w:type="dxa"/>
          </w:tcPr>
          <w:p w14:paraId="245E0C54" w14:textId="5708778A"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b/>
                <w:bCs/>
                <w:color w:val="000000" w:themeColor="text1"/>
                <w:sz w:val="24"/>
              </w:rPr>
              <w:t xml:space="preserve">Zeitaufwand: </w:t>
            </w:r>
            <w:r w:rsidRPr="001F4D8B">
              <w:rPr>
                <w:rFonts w:ascii="Arial" w:hAnsi="Arial" w:cs="Arial"/>
                <w:color w:val="000000" w:themeColor="text1"/>
                <w:sz w:val="24"/>
              </w:rPr>
              <w:t xml:space="preserve">Jeder Mitarbeiter, der in der Pflege tätig ist, leidet unter Zeitdruck. Zeitdruck führt zu psychischen Belastungen. Wenn nun die Überzieher an- und ausgezogen werden müssen, kostet dies zusätzlich Zeit, die häufig nicht in der Tourenplanung berücksichtigt wird, da dieser zusätzliche Zeitaufwand nicht von der Pflege- oder Krankenkasse oder vom Pflegekunden vergütet wird. Das bedeutet also, dass die Mitarbeiter noch mehr unter Zeitdruck gebracht und psychisch belastet werden. </w:t>
            </w:r>
          </w:p>
        </w:tc>
        <w:tc>
          <w:tcPr>
            <w:tcW w:w="5059" w:type="dxa"/>
          </w:tcPr>
          <w:p w14:paraId="470BC9E2" w14:textId="42BB6CF8" w:rsidR="001F4D8B" w:rsidRPr="001F4D8B" w:rsidRDefault="001F4D8B" w:rsidP="001F4D8B">
            <w:pPr>
              <w:spacing w:before="120" w:after="120"/>
              <w:ind w:left="-31"/>
              <w:rPr>
                <w:rFonts w:ascii="Arial" w:hAnsi="Arial" w:cs="Arial"/>
                <w:color w:val="000000" w:themeColor="text1"/>
                <w:sz w:val="24"/>
              </w:rPr>
            </w:pPr>
            <w:r w:rsidRPr="001F4D8B">
              <w:rPr>
                <w:rFonts w:ascii="Arial" w:hAnsi="Arial" w:cs="Arial"/>
                <w:color w:val="000000" w:themeColor="text1"/>
                <w:sz w:val="24"/>
              </w:rPr>
              <w:t>Um dem Mitarbeiter die psychische Belastung durch den Zeitdruck für den zusätzlichen Zeitaufwand für das An-</w:t>
            </w:r>
            <w:r>
              <w:rPr>
                <w:rFonts w:ascii="Arial" w:hAnsi="Arial" w:cs="Arial"/>
                <w:color w:val="000000" w:themeColor="text1"/>
                <w:sz w:val="24"/>
              </w:rPr>
              <w:t xml:space="preserve"> </w:t>
            </w:r>
            <w:r w:rsidRPr="001F4D8B">
              <w:rPr>
                <w:rFonts w:ascii="Arial" w:hAnsi="Arial" w:cs="Arial"/>
                <w:color w:val="000000" w:themeColor="text1"/>
                <w:sz w:val="24"/>
              </w:rPr>
              <w:t>und Ablegen der Überzieher zu nehmen, muss der Zeitaufwand bei der Tourenpla</w:t>
            </w:r>
            <w:r w:rsidRPr="001F4D8B">
              <w:rPr>
                <w:rFonts w:ascii="Arial" w:hAnsi="Arial" w:cs="Arial"/>
                <w:color w:val="000000" w:themeColor="text1"/>
                <w:sz w:val="24"/>
              </w:rPr>
              <w:softHyphen/>
              <w:t xml:space="preserve">nung berücksichtigt werden. Dies ist bestimmt möglich, doch fraglich ist, wer die Kosten dafür übernimmt. </w:t>
            </w:r>
          </w:p>
        </w:tc>
      </w:tr>
      <w:tr w:rsidR="00BE24C6" w:rsidRPr="001F4D8B" w14:paraId="7ACFF7B0" w14:textId="77777777" w:rsidTr="00BE24C6">
        <w:trPr>
          <w:trHeight w:val="70"/>
          <w:jc w:val="center"/>
        </w:trPr>
        <w:tc>
          <w:tcPr>
            <w:tcW w:w="10111" w:type="dxa"/>
            <w:gridSpan w:val="2"/>
          </w:tcPr>
          <w:p w14:paraId="11EAE13F" w14:textId="2B504AA6" w:rsidR="00BE24C6" w:rsidRPr="001F4D8B" w:rsidRDefault="00BE24C6" w:rsidP="001F4D8B">
            <w:pPr>
              <w:spacing w:before="120" w:after="120"/>
              <w:ind w:left="-31"/>
              <w:rPr>
                <w:rFonts w:ascii="Arial" w:hAnsi="Arial" w:cs="Arial"/>
                <w:color w:val="000000" w:themeColor="text1"/>
                <w:sz w:val="24"/>
              </w:rPr>
            </w:pPr>
            <w:r w:rsidRPr="00BE24C6">
              <w:rPr>
                <w:rFonts w:ascii="Arial" w:hAnsi="Arial" w:cs="Arial"/>
                <w:b/>
                <w:bCs/>
                <w:color w:val="000000" w:themeColor="text1"/>
                <w:sz w:val="24"/>
              </w:rPr>
              <w:t xml:space="preserve">Quelle: </w:t>
            </w:r>
            <w:r w:rsidRPr="00BE24C6">
              <w:rPr>
                <w:rFonts w:ascii="Arial" w:hAnsi="Arial" w:cs="Arial"/>
                <w:color w:val="000000" w:themeColor="text1"/>
                <w:sz w:val="24"/>
              </w:rPr>
              <w:t>In Anlehnung an Informationen der Deutschen Gesetzlichen Unfallversicherung</w:t>
            </w:r>
          </w:p>
        </w:tc>
      </w:tr>
    </w:tbl>
    <w:p w14:paraId="7A27FA72" w14:textId="77777777" w:rsidR="001F4D8B" w:rsidRPr="00E56A38" w:rsidRDefault="001F4D8B" w:rsidP="00E56A38">
      <w:pPr>
        <w:spacing w:before="120" w:after="120"/>
        <w:ind w:left="-31"/>
        <w:rPr>
          <w:rFonts w:ascii="Arial" w:hAnsi="Arial" w:cs="Arial"/>
          <w:color w:val="000000" w:themeColor="text1"/>
          <w:sz w:val="24"/>
        </w:rPr>
      </w:pPr>
    </w:p>
    <w:sectPr w:rsidR="001F4D8B" w:rsidRPr="00E56A38" w:rsidSect="001F4D8B">
      <w:headerReference w:type="default" r:id="rId7"/>
      <w:pgSz w:w="11906" w:h="16838"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26EE" w14:textId="77777777" w:rsidR="00FC78B4" w:rsidRDefault="00FC78B4" w:rsidP="002A5D13">
      <w:pPr>
        <w:spacing w:after="0" w:line="240" w:lineRule="auto"/>
      </w:pPr>
      <w:r>
        <w:separator/>
      </w:r>
    </w:p>
  </w:endnote>
  <w:endnote w:type="continuationSeparator" w:id="0">
    <w:p w14:paraId="0AD77DD1" w14:textId="77777777" w:rsidR="00FC78B4" w:rsidRDefault="00FC78B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BFF8" w14:textId="77777777" w:rsidR="00FC78B4" w:rsidRDefault="00FC78B4" w:rsidP="002A5D13">
      <w:pPr>
        <w:spacing w:after="0" w:line="240" w:lineRule="auto"/>
      </w:pPr>
      <w:r>
        <w:separator/>
      </w:r>
    </w:p>
  </w:footnote>
  <w:footnote w:type="continuationSeparator" w:id="0">
    <w:p w14:paraId="471F9175" w14:textId="77777777" w:rsidR="00FC78B4" w:rsidRDefault="00FC78B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BD645D5" w:rsidR="007A7CA7" w:rsidRPr="00E74AD6" w:rsidRDefault="00D97E25" w:rsidP="00D97E25">
          <w:pPr>
            <w:pStyle w:val="Kopfzeile"/>
            <w:jc w:val="center"/>
            <w:rPr>
              <w:b/>
              <w:color w:val="DAEEF3"/>
            </w:rPr>
          </w:pPr>
          <w:r>
            <w:rPr>
              <w:b/>
              <w:color w:val="DAEEF3"/>
              <w:sz w:val="24"/>
            </w:rPr>
            <w:t>Ausgabe 0</w:t>
          </w:r>
          <w:r w:rsidR="00185E8D">
            <w:rPr>
              <w:b/>
              <w:color w:val="DAEEF3"/>
              <w:sz w:val="24"/>
            </w:rPr>
            <w:t>4</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EF6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CD0A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6935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CD91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33A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A78F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9F5A8C"/>
    <w:multiLevelType w:val="hybridMultilevel"/>
    <w:tmpl w:val="E774C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242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1"/>
  </w:num>
  <w:num w:numId="2" w16cid:durableId="1523666159">
    <w:abstractNumId w:val="31"/>
  </w:num>
  <w:num w:numId="3" w16cid:durableId="1865754299">
    <w:abstractNumId w:val="36"/>
  </w:num>
  <w:num w:numId="4" w16cid:durableId="818304963">
    <w:abstractNumId w:val="22"/>
  </w:num>
  <w:num w:numId="5" w16cid:durableId="909541012">
    <w:abstractNumId w:val="12"/>
  </w:num>
  <w:num w:numId="6" w16cid:durableId="1327440480">
    <w:abstractNumId w:val="17"/>
  </w:num>
  <w:num w:numId="7" w16cid:durableId="1965695332">
    <w:abstractNumId w:val="24"/>
  </w:num>
  <w:num w:numId="8" w16cid:durableId="1631742190">
    <w:abstractNumId w:val="23"/>
  </w:num>
  <w:num w:numId="9" w16cid:durableId="507452013">
    <w:abstractNumId w:val="19"/>
  </w:num>
  <w:num w:numId="10" w16cid:durableId="1380588834">
    <w:abstractNumId w:val="8"/>
  </w:num>
  <w:num w:numId="11" w16cid:durableId="905796348">
    <w:abstractNumId w:val="32"/>
  </w:num>
  <w:num w:numId="12" w16cid:durableId="561402115">
    <w:abstractNumId w:val="26"/>
  </w:num>
  <w:num w:numId="13" w16cid:durableId="2137408609">
    <w:abstractNumId w:val="27"/>
  </w:num>
  <w:num w:numId="14" w16cid:durableId="1825924056">
    <w:abstractNumId w:val="25"/>
  </w:num>
  <w:num w:numId="15" w16cid:durableId="1575043430">
    <w:abstractNumId w:val="28"/>
  </w:num>
  <w:num w:numId="16" w16cid:durableId="260797494">
    <w:abstractNumId w:val="29"/>
  </w:num>
  <w:num w:numId="17" w16cid:durableId="1416823773">
    <w:abstractNumId w:val="30"/>
  </w:num>
  <w:num w:numId="18" w16cid:durableId="870455365">
    <w:abstractNumId w:val="7"/>
  </w:num>
  <w:num w:numId="19" w16cid:durableId="352223203">
    <w:abstractNumId w:val="6"/>
  </w:num>
  <w:num w:numId="20" w16cid:durableId="859202725">
    <w:abstractNumId w:val="5"/>
  </w:num>
  <w:num w:numId="21" w16cid:durableId="767504800">
    <w:abstractNumId w:val="4"/>
  </w:num>
  <w:num w:numId="22" w16cid:durableId="1270619908">
    <w:abstractNumId w:val="3"/>
  </w:num>
  <w:num w:numId="23" w16cid:durableId="1497067334">
    <w:abstractNumId w:val="14"/>
  </w:num>
  <w:num w:numId="24" w16cid:durableId="756941337">
    <w:abstractNumId w:val="10"/>
  </w:num>
  <w:num w:numId="25" w16cid:durableId="1145244037">
    <w:abstractNumId w:val="11"/>
  </w:num>
  <w:num w:numId="26" w16cid:durableId="1266232381">
    <w:abstractNumId w:val="33"/>
  </w:num>
  <w:num w:numId="27" w16cid:durableId="379787300">
    <w:abstractNumId w:val="35"/>
  </w:num>
  <w:num w:numId="28" w16cid:durableId="424151893">
    <w:abstractNumId w:val="38"/>
  </w:num>
  <w:num w:numId="29" w16cid:durableId="107509980">
    <w:abstractNumId w:val="34"/>
  </w:num>
  <w:num w:numId="30" w16cid:durableId="223221979">
    <w:abstractNumId w:val="15"/>
  </w:num>
  <w:num w:numId="31" w16cid:durableId="817040694">
    <w:abstractNumId w:val="16"/>
  </w:num>
  <w:num w:numId="32" w16cid:durableId="1773934099">
    <w:abstractNumId w:val="37"/>
  </w:num>
  <w:num w:numId="33" w16cid:durableId="49498505">
    <w:abstractNumId w:val="0"/>
  </w:num>
  <w:num w:numId="34" w16cid:durableId="1615941672">
    <w:abstractNumId w:val="18"/>
  </w:num>
  <w:num w:numId="35" w16cid:durableId="1516379298">
    <w:abstractNumId w:val="1"/>
  </w:num>
  <w:num w:numId="36" w16cid:durableId="918255034">
    <w:abstractNumId w:val="13"/>
  </w:num>
  <w:num w:numId="37" w16cid:durableId="921988838">
    <w:abstractNumId w:val="9"/>
  </w:num>
  <w:num w:numId="38" w16cid:durableId="817721098">
    <w:abstractNumId w:val="2"/>
  </w:num>
  <w:num w:numId="39" w16cid:durableId="11663641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85E8D"/>
    <w:rsid w:val="001B429B"/>
    <w:rsid w:val="001E33AA"/>
    <w:rsid w:val="001F4D8B"/>
    <w:rsid w:val="00205D0C"/>
    <w:rsid w:val="00217E03"/>
    <w:rsid w:val="00243397"/>
    <w:rsid w:val="0027096C"/>
    <w:rsid w:val="002766CF"/>
    <w:rsid w:val="002846C4"/>
    <w:rsid w:val="0028515F"/>
    <w:rsid w:val="002A5D13"/>
    <w:rsid w:val="002B029B"/>
    <w:rsid w:val="002B4419"/>
    <w:rsid w:val="002D45E4"/>
    <w:rsid w:val="002E4378"/>
    <w:rsid w:val="002F41D3"/>
    <w:rsid w:val="003026FE"/>
    <w:rsid w:val="003676E3"/>
    <w:rsid w:val="00380EF0"/>
    <w:rsid w:val="003E3400"/>
    <w:rsid w:val="00433F51"/>
    <w:rsid w:val="00453EC3"/>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67683"/>
    <w:rsid w:val="00983536"/>
    <w:rsid w:val="00985C2F"/>
    <w:rsid w:val="009A6365"/>
    <w:rsid w:val="009B721F"/>
    <w:rsid w:val="009D000C"/>
    <w:rsid w:val="009E4A03"/>
    <w:rsid w:val="009E6591"/>
    <w:rsid w:val="009F64ED"/>
    <w:rsid w:val="00A06C64"/>
    <w:rsid w:val="00A42A0D"/>
    <w:rsid w:val="00AD39D1"/>
    <w:rsid w:val="00AF17D9"/>
    <w:rsid w:val="00B01FFE"/>
    <w:rsid w:val="00B16885"/>
    <w:rsid w:val="00B67280"/>
    <w:rsid w:val="00B707AF"/>
    <w:rsid w:val="00B81586"/>
    <w:rsid w:val="00B87D52"/>
    <w:rsid w:val="00BD71E9"/>
    <w:rsid w:val="00BE24C6"/>
    <w:rsid w:val="00C310AF"/>
    <w:rsid w:val="00C42D52"/>
    <w:rsid w:val="00C73E1A"/>
    <w:rsid w:val="00C91E68"/>
    <w:rsid w:val="00C9289F"/>
    <w:rsid w:val="00CC38C8"/>
    <w:rsid w:val="00CD4F0B"/>
    <w:rsid w:val="00D56265"/>
    <w:rsid w:val="00D6029A"/>
    <w:rsid w:val="00D96EA7"/>
    <w:rsid w:val="00D97E25"/>
    <w:rsid w:val="00DA1ADE"/>
    <w:rsid w:val="00DB32C7"/>
    <w:rsid w:val="00DD233A"/>
    <w:rsid w:val="00DE0463"/>
    <w:rsid w:val="00E028D9"/>
    <w:rsid w:val="00E2265E"/>
    <w:rsid w:val="00E56A38"/>
    <w:rsid w:val="00E74AD6"/>
    <w:rsid w:val="00E91CFD"/>
    <w:rsid w:val="00ED7053"/>
    <w:rsid w:val="00F20663"/>
    <w:rsid w:val="00F57C10"/>
    <w:rsid w:val="00FA19D7"/>
    <w:rsid w:val="00FC278E"/>
    <w:rsid w:val="00FC7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3</cp:revision>
  <cp:lastPrinted>2013-12-09T12:30:00Z</cp:lastPrinted>
  <dcterms:created xsi:type="dcterms:W3CDTF">2026-01-28T12:49:00Z</dcterms:created>
  <dcterms:modified xsi:type="dcterms:W3CDTF">2026-01-28T12:50:00Z</dcterms:modified>
</cp:coreProperties>
</file>