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7CB9251D" w14:textId="03B50213" w:rsidR="00C61190" w:rsidRPr="003A382D" w:rsidRDefault="007A7CA7" w:rsidP="003A382D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969"/>
        <w:gridCol w:w="4536"/>
      </w:tblGrid>
      <w:tr w:rsidR="00C61190" w:rsidRPr="00C61190" w14:paraId="3960C9FF" w14:textId="77777777" w:rsidTr="003A382D">
        <w:trPr>
          <w:trHeight w:val="299"/>
          <w:jc w:val="center"/>
        </w:trPr>
        <w:tc>
          <w:tcPr>
            <w:tcW w:w="11194" w:type="dxa"/>
            <w:gridSpan w:val="3"/>
            <w:shd w:val="clear" w:color="auto" w:fill="82AFA7"/>
          </w:tcPr>
          <w:p w14:paraId="65D1B6DB" w14:textId="153E119E" w:rsidR="00C61190" w:rsidRPr="00C61190" w:rsidRDefault="003A382D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Reformansätze</w:t>
            </w:r>
            <w:r w:rsidR="00C61190" w:rsidRPr="00C6119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61190" w:rsidRPr="003A382D" w14:paraId="73DD5C36" w14:textId="77777777" w:rsidTr="003A382D">
        <w:trPr>
          <w:trHeight w:val="94"/>
          <w:jc w:val="center"/>
        </w:trPr>
        <w:tc>
          <w:tcPr>
            <w:tcW w:w="2689" w:type="dxa"/>
            <w:shd w:val="clear" w:color="auto" w:fill="F6A0A2"/>
          </w:tcPr>
          <w:p w14:paraId="51321EB1" w14:textId="7B1B1C44" w:rsidR="00C61190" w:rsidRPr="003A382D" w:rsidRDefault="003A382D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3A382D">
              <w:rPr>
                <w:rFonts w:ascii="Arial" w:hAnsi="Arial" w:cs="Arial"/>
                <w:b/>
                <w:color w:val="000000" w:themeColor="text1"/>
              </w:rPr>
              <w:t>Reformansatz (Diskutiert)</w:t>
            </w:r>
          </w:p>
        </w:tc>
        <w:tc>
          <w:tcPr>
            <w:tcW w:w="3969" w:type="dxa"/>
            <w:shd w:val="clear" w:color="auto" w:fill="F6A0A2"/>
          </w:tcPr>
          <w:p w14:paraId="6F23717A" w14:textId="57FB519C" w:rsidR="00C61190" w:rsidRPr="003A382D" w:rsidRDefault="003A382D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3A382D">
              <w:rPr>
                <w:rFonts w:ascii="Arial" w:hAnsi="Arial" w:cs="Arial"/>
                <w:b/>
                <w:color w:val="000000" w:themeColor="text1"/>
              </w:rPr>
              <w:t>Strategische Bedeutung für Ihre Einrichtung</w:t>
            </w:r>
          </w:p>
        </w:tc>
        <w:tc>
          <w:tcPr>
            <w:tcW w:w="4536" w:type="dxa"/>
            <w:shd w:val="clear" w:color="auto" w:fill="F6A0A2"/>
          </w:tcPr>
          <w:p w14:paraId="0AD04B17" w14:textId="3AC55A72" w:rsidR="00C61190" w:rsidRPr="003A382D" w:rsidRDefault="003A382D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3A382D">
              <w:rPr>
                <w:rFonts w:ascii="Arial" w:hAnsi="Arial" w:cs="Arial"/>
                <w:b/>
                <w:color w:val="000000" w:themeColor="text1"/>
              </w:rPr>
              <w:t>Sofortige Handlung/Vorbereitung (Januar 2026)</w:t>
            </w:r>
          </w:p>
        </w:tc>
      </w:tr>
      <w:tr w:rsidR="003A382D" w:rsidRPr="003A382D" w14:paraId="6FC4F158" w14:textId="77777777" w:rsidTr="003A382D">
        <w:trPr>
          <w:trHeight w:val="94"/>
          <w:jc w:val="center"/>
        </w:trPr>
        <w:tc>
          <w:tcPr>
            <w:tcW w:w="2689" w:type="dxa"/>
          </w:tcPr>
          <w:p w14:paraId="19834FC5" w14:textId="01FF9EF7" w:rsidR="003A382D" w:rsidRPr="003A382D" w:rsidRDefault="003A382D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3A382D">
              <w:rPr>
                <w:rFonts w:ascii="Arial" w:hAnsi="Arial" w:cs="Arial"/>
                <w:b/>
                <w:color w:val="000000" w:themeColor="text1"/>
              </w:rPr>
              <w:t>Finanzierung &amp; Kosten</w:t>
            </w:r>
          </w:p>
        </w:tc>
        <w:tc>
          <w:tcPr>
            <w:tcW w:w="3969" w:type="dxa"/>
          </w:tcPr>
          <w:p w14:paraId="5D97F7CE" w14:textId="77777777" w:rsidR="003A382D" w:rsidRPr="003A382D" w:rsidRDefault="003A382D" w:rsidP="003A382D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</w:tcPr>
          <w:p w14:paraId="2A0A7F5E" w14:textId="77777777" w:rsidR="003A382D" w:rsidRPr="003A382D" w:rsidRDefault="003A382D" w:rsidP="003A382D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61190" w:rsidRPr="003A382D" w14:paraId="42DC13B1" w14:textId="77777777" w:rsidTr="003A382D">
        <w:trPr>
          <w:trHeight w:val="94"/>
          <w:jc w:val="center"/>
        </w:trPr>
        <w:tc>
          <w:tcPr>
            <w:tcW w:w="2689" w:type="dxa"/>
          </w:tcPr>
          <w:p w14:paraId="3C743D16" w14:textId="19FDF738" w:rsidR="00C61190" w:rsidRPr="003A382D" w:rsidRDefault="003A382D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Dynamisierung der Leistungen (Kopplung an Lohn/Inflation)</w:t>
            </w:r>
          </w:p>
        </w:tc>
        <w:tc>
          <w:tcPr>
            <w:tcW w:w="3969" w:type="dxa"/>
          </w:tcPr>
          <w:p w14:paraId="52584FCE" w14:textId="1D94E45F" w:rsidR="00C61190" w:rsidRPr="003A382D" w:rsidRDefault="003A382D" w:rsidP="003A382D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Kritisch: Sollte der Eigenanteil der Bewohner entlastet werden, kann dies die Finanzierbarkeit f</w:t>
            </w:r>
            <w:r w:rsidRPr="003A382D">
              <w:rPr>
                <w:rFonts w:ascii="Arial" w:hAnsi="Arial" w:cs="Arial"/>
                <w:bCs/>
                <w:color w:val="000000" w:themeColor="text1"/>
              </w:rPr>
              <w:t>ü</w:t>
            </w:r>
            <w:r w:rsidRPr="003A382D">
              <w:rPr>
                <w:rFonts w:ascii="Arial" w:hAnsi="Arial" w:cs="Arial"/>
                <w:bCs/>
                <w:color w:val="000000" w:themeColor="text1"/>
              </w:rPr>
              <w:t>r die Bewohner erh</w:t>
            </w:r>
            <w:r w:rsidRPr="003A382D">
              <w:rPr>
                <w:rFonts w:ascii="Arial" w:hAnsi="Arial" w:cs="Arial"/>
                <w:bCs/>
                <w:color w:val="000000" w:themeColor="text1"/>
              </w:rPr>
              <w:t>ö</w:t>
            </w:r>
            <w:r w:rsidRPr="003A382D">
              <w:rPr>
                <w:rFonts w:ascii="Arial" w:hAnsi="Arial" w:cs="Arial"/>
                <w:bCs/>
                <w:color w:val="000000" w:themeColor="text1"/>
              </w:rPr>
              <w:t>hen und die Nachfrage stabilisieren.</w:t>
            </w:r>
          </w:p>
        </w:tc>
        <w:tc>
          <w:tcPr>
            <w:tcW w:w="4536" w:type="dxa"/>
          </w:tcPr>
          <w:p w14:paraId="5FDFFC9B" w14:textId="77777777" w:rsidR="003A382D" w:rsidRPr="003A382D" w:rsidRDefault="003A382D" w:rsidP="003A382D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 xml:space="preserve">Kosten-Monitoring: Detaillierte Erfassung der UVI-Kosten </w:t>
            </w:r>
          </w:p>
          <w:p w14:paraId="20FA715F" w14:textId="7A92DD86" w:rsidR="00C61190" w:rsidRPr="003A382D" w:rsidRDefault="003A382D" w:rsidP="003A382D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(Unterkunft, Verpflegung, Investitionen) und der Lohnkostenentwicklung zur Argumentation der Eigenanteile.</w:t>
            </w:r>
          </w:p>
        </w:tc>
      </w:tr>
      <w:tr w:rsidR="00C61190" w:rsidRPr="003A382D" w14:paraId="16173C59" w14:textId="77777777" w:rsidTr="003A382D">
        <w:trPr>
          <w:trHeight w:val="94"/>
          <w:jc w:val="center"/>
        </w:trPr>
        <w:tc>
          <w:tcPr>
            <w:tcW w:w="2689" w:type="dxa"/>
          </w:tcPr>
          <w:p w14:paraId="255D165C" w14:textId="24EAF8D1" w:rsidR="00C61190" w:rsidRPr="003A382D" w:rsidRDefault="003A382D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Beibehaltung des Teilleistungssystems</w:t>
            </w:r>
          </w:p>
        </w:tc>
        <w:tc>
          <w:tcPr>
            <w:tcW w:w="3969" w:type="dxa"/>
          </w:tcPr>
          <w:p w14:paraId="7F2F987E" w14:textId="28195887" w:rsidR="00C61190" w:rsidRPr="003A382D" w:rsidRDefault="003A382D" w:rsidP="003A382D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Status quo: Das Armutsrisiko der Pflege bleibt bestehen; die Notwendigkeit von privater Vorsorge und finanzieller Aufklärung bleibt hoch.</w:t>
            </w:r>
          </w:p>
        </w:tc>
        <w:tc>
          <w:tcPr>
            <w:tcW w:w="4536" w:type="dxa"/>
          </w:tcPr>
          <w:p w14:paraId="5FFA0824" w14:textId="6F9E939B" w:rsidR="00C61190" w:rsidRPr="003A382D" w:rsidRDefault="003A382D" w:rsidP="003A382D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Beratungs-Check: Schulung der Beratungskräfte/</w:t>
            </w:r>
            <w:r w:rsidRPr="003A382D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3A382D">
              <w:rPr>
                <w:rFonts w:ascii="Arial" w:hAnsi="Arial" w:cs="Arial"/>
                <w:bCs/>
                <w:color w:val="000000" w:themeColor="text1"/>
              </w:rPr>
              <w:t>Verwaltung zu den erhöhten Leistungszuschlägen (PUEG) und zur Aufklärung über den verbleibenden Eigenanteil.</w:t>
            </w:r>
          </w:p>
        </w:tc>
      </w:tr>
      <w:tr w:rsidR="00C61190" w:rsidRPr="003A382D" w14:paraId="6CCE3032" w14:textId="77777777" w:rsidTr="003A382D">
        <w:trPr>
          <w:trHeight w:val="94"/>
          <w:jc w:val="center"/>
        </w:trPr>
        <w:tc>
          <w:tcPr>
            <w:tcW w:w="2689" w:type="dxa"/>
          </w:tcPr>
          <w:p w14:paraId="79FD5161" w14:textId="76FA8A4C" w:rsidR="00C61190" w:rsidRPr="003A382D" w:rsidRDefault="003A382D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Sockel-Spitze-Tausch (SST)  (Begrenzung des pflegebedingten Eigenanteils)</w:t>
            </w:r>
          </w:p>
        </w:tc>
        <w:tc>
          <w:tcPr>
            <w:tcW w:w="3969" w:type="dxa"/>
          </w:tcPr>
          <w:p w14:paraId="0627F52C" w14:textId="6630D4B2" w:rsidR="00C61190" w:rsidRPr="003A382D" w:rsidRDefault="003A382D" w:rsidP="003A382D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Hoch: Falls umgesetzt, bietet dies Planungs- und Finanzierungssicherheit für die Bewohner.</w:t>
            </w:r>
          </w:p>
        </w:tc>
        <w:tc>
          <w:tcPr>
            <w:tcW w:w="4536" w:type="dxa"/>
          </w:tcPr>
          <w:p w14:paraId="45F54112" w14:textId="1D93324C" w:rsidR="00C61190" w:rsidRPr="003A382D" w:rsidRDefault="003A382D" w:rsidP="003A382D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Szenarienbildung: Berechnung, wie sich die Einnahmen und die Belastung der Bewohner bei einem festen „Sockelbetrag“ verändern würden.</w:t>
            </w:r>
          </w:p>
        </w:tc>
      </w:tr>
      <w:tr w:rsidR="00C61190" w:rsidRPr="003A382D" w14:paraId="0BDDE2FE" w14:textId="77777777" w:rsidTr="003A382D">
        <w:trPr>
          <w:trHeight w:val="94"/>
          <w:jc w:val="center"/>
        </w:trPr>
        <w:tc>
          <w:tcPr>
            <w:tcW w:w="2689" w:type="dxa"/>
          </w:tcPr>
          <w:p w14:paraId="4FB2DBA8" w14:textId="1935CC7D" w:rsidR="00C61190" w:rsidRPr="003A382D" w:rsidRDefault="003A382D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3A382D">
              <w:rPr>
                <w:rFonts w:ascii="Arial" w:hAnsi="Arial" w:cs="Arial"/>
                <w:b/>
                <w:color w:val="000000" w:themeColor="text1"/>
              </w:rPr>
              <w:t>Versorgung &amp; Struktur</w:t>
            </w:r>
          </w:p>
        </w:tc>
        <w:tc>
          <w:tcPr>
            <w:tcW w:w="3969" w:type="dxa"/>
          </w:tcPr>
          <w:p w14:paraId="1BA188D6" w14:textId="5DE9EB08" w:rsidR="00C61190" w:rsidRPr="003A382D" w:rsidRDefault="00C61190" w:rsidP="003A382D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</w:tcPr>
          <w:p w14:paraId="1F0B3430" w14:textId="6D833735" w:rsidR="00C61190" w:rsidRPr="003A382D" w:rsidRDefault="00C61190" w:rsidP="003A382D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61190" w:rsidRPr="003A382D" w14:paraId="5496907B" w14:textId="77777777" w:rsidTr="003A382D">
        <w:trPr>
          <w:trHeight w:val="94"/>
          <w:jc w:val="center"/>
        </w:trPr>
        <w:tc>
          <w:tcPr>
            <w:tcW w:w="2689" w:type="dxa"/>
          </w:tcPr>
          <w:p w14:paraId="527B8E95" w14:textId="0984098B" w:rsidR="00C61190" w:rsidRPr="003A382D" w:rsidRDefault="003A382D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Stärkung der häuslichen/ ambulanten Pflege</w:t>
            </w:r>
          </w:p>
        </w:tc>
        <w:tc>
          <w:tcPr>
            <w:tcW w:w="3969" w:type="dxa"/>
          </w:tcPr>
          <w:p w14:paraId="6919DB58" w14:textId="6FFCF149" w:rsidR="00C61190" w:rsidRPr="003A382D" w:rsidRDefault="003A382D" w:rsidP="003A382D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Mittel bis Hoch: Kann den Wettbewerb um die „leichteren“ Pflegegrade verstärken. Gleichzeitig steigt der Bedarf an kurzzeitiger Entlastung (teilstationär/Kurzzeitpflege).</w:t>
            </w:r>
          </w:p>
        </w:tc>
        <w:tc>
          <w:tcPr>
            <w:tcW w:w="4536" w:type="dxa"/>
          </w:tcPr>
          <w:p w14:paraId="2000AA6B" w14:textId="27EA39A1" w:rsidR="00C61190" w:rsidRPr="003A382D" w:rsidRDefault="003A382D" w:rsidP="003A382D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Ambulanter Markt: Analyse der lokalen ambulanten und teilstationären Versorgungsangebote. Fokus auf Kooperationen oder den Ausbau eigener Angebote (falls strategisch sinnvoll).</w:t>
            </w:r>
          </w:p>
        </w:tc>
      </w:tr>
      <w:tr w:rsidR="003A382D" w:rsidRPr="003A382D" w14:paraId="489309EC" w14:textId="77777777" w:rsidTr="003A382D">
        <w:trPr>
          <w:trHeight w:val="94"/>
          <w:jc w:val="center"/>
        </w:trPr>
        <w:tc>
          <w:tcPr>
            <w:tcW w:w="2689" w:type="dxa"/>
          </w:tcPr>
          <w:p w14:paraId="563FEE4E" w14:textId="4E526C13" w:rsidR="003A382D" w:rsidRPr="003A382D" w:rsidRDefault="003A382D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St</w:t>
            </w:r>
            <w:r w:rsidRPr="003A382D">
              <w:rPr>
                <w:rFonts w:ascii="Arial" w:hAnsi="Arial" w:cs="Arial"/>
                <w:bCs/>
                <w:color w:val="000000" w:themeColor="text1"/>
              </w:rPr>
              <w:t>ä</w:t>
            </w:r>
            <w:r w:rsidRPr="003A382D">
              <w:rPr>
                <w:rFonts w:ascii="Arial" w:hAnsi="Arial" w:cs="Arial"/>
                <w:bCs/>
                <w:color w:val="000000" w:themeColor="text1"/>
              </w:rPr>
              <w:t>rkung der Akutversorgung bei Ausfall der Pflegeperson</w:t>
            </w:r>
          </w:p>
        </w:tc>
        <w:tc>
          <w:tcPr>
            <w:tcW w:w="3969" w:type="dxa"/>
          </w:tcPr>
          <w:p w14:paraId="6DA60545" w14:textId="37F1E935" w:rsidR="003A382D" w:rsidRPr="003A382D" w:rsidRDefault="003A382D" w:rsidP="003A382D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Hoch: Erhöhter Bedarf an flexiblen Kapazitäten (Kurzzeitpflege) und koordinierten Übergängen</w:t>
            </w:r>
          </w:p>
        </w:tc>
        <w:tc>
          <w:tcPr>
            <w:tcW w:w="4536" w:type="dxa"/>
          </w:tcPr>
          <w:p w14:paraId="1525073A" w14:textId="4F255623" w:rsidR="003A382D" w:rsidRPr="003A382D" w:rsidRDefault="003A382D" w:rsidP="003A382D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Kapazitätsmanagement: Überprüfung der Prozesse für kurzfristige Aufnahme und Entlassungsmanagement (Akutpflegefälle).</w:t>
            </w:r>
          </w:p>
        </w:tc>
      </w:tr>
      <w:tr w:rsidR="003A382D" w:rsidRPr="003A382D" w14:paraId="624AD958" w14:textId="77777777" w:rsidTr="003A382D">
        <w:trPr>
          <w:trHeight w:val="94"/>
          <w:jc w:val="center"/>
        </w:trPr>
        <w:tc>
          <w:tcPr>
            <w:tcW w:w="2689" w:type="dxa"/>
          </w:tcPr>
          <w:p w14:paraId="4E02D44D" w14:textId="0A863F66" w:rsidR="003A382D" w:rsidRPr="003A382D" w:rsidRDefault="003A382D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Leistungen für Pflegegrad 1  auf Prävention fokussieren</w:t>
            </w:r>
          </w:p>
        </w:tc>
        <w:tc>
          <w:tcPr>
            <w:tcW w:w="3969" w:type="dxa"/>
          </w:tcPr>
          <w:p w14:paraId="5D976E8E" w14:textId="03999CA8" w:rsidR="003A382D" w:rsidRPr="003A382D" w:rsidRDefault="003A382D" w:rsidP="003A382D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Hoch: Bietet neue Möglichkeiten für präventive Angebote in der Einrichtung (z. B. Sturzprävention, Ernährungsberatung) und stärkt das Case Management.</w:t>
            </w:r>
          </w:p>
        </w:tc>
        <w:tc>
          <w:tcPr>
            <w:tcW w:w="4536" w:type="dxa"/>
          </w:tcPr>
          <w:p w14:paraId="15791C99" w14:textId="2528F014" w:rsidR="003A382D" w:rsidRPr="003A382D" w:rsidRDefault="003A382D" w:rsidP="003A382D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Konzeptprüfung: Audit der aktuellen Präventionsangebote für Pflegegrad 1. Positionierung der Pflegeberatung (PflB) als präventive Schnittstelle.</w:t>
            </w:r>
          </w:p>
        </w:tc>
      </w:tr>
      <w:tr w:rsidR="003A382D" w:rsidRPr="003A382D" w14:paraId="5A4BD233" w14:textId="77777777" w:rsidTr="003A382D">
        <w:trPr>
          <w:trHeight w:val="94"/>
          <w:jc w:val="center"/>
        </w:trPr>
        <w:tc>
          <w:tcPr>
            <w:tcW w:w="2689" w:type="dxa"/>
          </w:tcPr>
          <w:p w14:paraId="7A2764C1" w14:textId="3BE04F4B" w:rsidR="003A382D" w:rsidRPr="003A382D" w:rsidRDefault="003A382D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Neuaufstellung der Pflegeberatung (Bündelung &amp; pflegefachliche Fundierung)</w:t>
            </w:r>
          </w:p>
        </w:tc>
        <w:tc>
          <w:tcPr>
            <w:tcW w:w="3969" w:type="dxa"/>
          </w:tcPr>
          <w:p w14:paraId="5451493B" w14:textId="19B24EA7" w:rsidR="003A382D" w:rsidRPr="003A382D" w:rsidRDefault="003A382D" w:rsidP="003A382D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Hoch: Die Qualität der Beratung wird zentraler für die Orientierung der Familien. Kooperationen mit Pflegestützpunkten und Beratungsstellen werden wichtiger.</w:t>
            </w:r>
          </w:p>
        </w:tc>
        <w:tc>
          <w:tcPr>
            <w:tcW w:w="4536" w:type="dxa"/>
          </w:tcPr>
          <w:p w14:paraId="4D7345DB" w14:textId="7B693520" w:rsidR="003A382D" w:rsidRPr="003A382D" w:rsidRDefault="003A382D" w:rsidP="003A382D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3A382D">
              <w:rPr>
                <w:rFonts w:ascii="Arial" w:hAnsi="Arial" w:cs="Arial"/>
                <w:bCs/>
                <w:color w:val="000000" w:themeColor="text1"/>
              </w:rPr>
              <w:t>Kompetenzaufbau: Sicherstellung, dass eigene Pflegeberater/</w:t>
            </w:r>
            <w:r w:rsidRPr="003A382D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3A382D">
              <w:rPr>
                <w:rFonts w:ascii="Arial" w:hAnsi="Arial" w:cs="Arial"/>
                <w:bCs/>
                <w:color w:val="000000" w:themeColor="text1"/>
              </w:rPr>
              <w:t>Bezugspersonen über die neuesten pflegefachlichen und sozialrechtlichen Kenntnisse verfügen (Schulung).</w:t>
            </w:r>
          </w:p>
        </w:tc>
      </w:tr>
    </w:tbl>
    <w:p w14:paraId="7812C6E6" w14:textId="77777777" w:rsidR="001252A1" w:rsidRDefault="001252A1" w:rsidP="00C73E1A"/>
    <w:sectPr w:rsidR="001252A1" w:rsidSect="003A382D">
      <w:headerReference w:type="default" r:id="rId9"/>
      <w:pgSz w:w="11906" w:h="16838" w:code="9"/>
      <w:pgMar w:top="-141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8F2E0" w14:textId="77777777" w:rsidR="00EF48B5" w:rsidRDefault="00EF48B5" w:rsidP="002A5D13">
      <w:pPr>
        <w:spacing w:after="0" w:line="240" w:lineRule="auto"/>
      </w:pPr>
      <w:r>
        <w:separator/>
      </w:r>
    </w:p>
  </w:endnote>
  <w:endnote w:type="continuationSeparator" w:id="0">
    <w:p w14:paraId="4AA31900" w14:textId="77777777" w:rsidR="00EF48B5" w:rsidRDefault="00EF48B5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53A9" w14:textId="77777777" w:rsidR="00EF48B5" w:rsidRDefault="00EF48B5" w:rsidP="002A5D13">
      <w:pPr>
        <w:spacing w:after="0" w:line="240" w:lineRule="auto"/>
      </w:pPr>
      <w:r>
        <w:separator/>
      </w:r>
    </w:p>
  </w:footnote>
  <w:footnote w:type="continuationSeparator" w:id="0">
    <w:p w14:paraId="44975990" w14:textId="77777777" w:rsidR="00EF48B5" w:rsidRDefault="00EF48B5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3EBBDABD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</w:t>
          </w:r>
          <w:r w:rsidR="003A382D">
            <w:rPr>
              <w:b/>
              <w:sz w:val="24"/>
            </w:rPr>
            <w:t>2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227480680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80EF0"/>
    <w:rsid w:val="003A382D"/>
    <w:rsid w:val="003E3400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2477B"/>
    <w:rsid w:val="00551B88"/>
    <w:rsid w:val="0056484C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74595"/>
    <w:rsid w:val="00EF43D3"/>
    <w:rsid w:val="00EF48B5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2026-01-13T11:51:00Z</dcterms:created>
  <dcterms:modified xsi:type="dcterms:W3CDTF">2026-01-13T11:53:00Z</dcterms:modified>
</cp:coreProperties>
</file>