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8D50" w14:textId="77777777" w:rsidR="00F66C11" w:rsidRDefault="00F66C11" w:rsidP="00581B4B"/>
    <w:p w14:paraId="6475CA0A" w14:textId="77777777" w:rsidR="00282C09" w:rsidRDefault="00282C09" w:rsidP="00581B4B"/>
    <w:p w14:paraId="2A895616" w14:textId="77777777" w:rsidR="006130FE" w:rsidRDefault="006130FE" w:rsidP="00581B4B">
      <w:pPr>
        <w:rPr>
          <w:bCs/>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4"/>
        <w:gridCol w:w="4756"/>
      </w:tblGrid>
      <w:tr w:rsidR="006130FE" w:rsidRPr="006130FE" w14:paraId="4AB78117" w14:textId="77777777" w:rsidTr="006130FE">
        <w:trPr>
          <w:trHeight w:val="117"/>
          <w:jc w:val="center"/>
        </w:trPr>
        <w:tc>
          <w:tcPr>
            <w:tcW w:w="9510" w:type="dxa"/>
            <w:gridSpan w:val="2"/>
            <w:shd w:val="clear" w:color="auto" w:fill="0099CC"/>
          </w:tcPr>
          <w:p w14:paraId="02D89ACE" w14:textId="25D33422" w:rsidR="006130FE" w:rsidRPr="006130FE" w:rsidRDefault="006130FE" w:rsidP="006130FE">
            <w:pPr>
              <w:spacing w:before="120" w:after="120"/>
              <w:rPr>
                <w:rFonts w:ascii="Arial" w:hAnsi="Arial" w:cs="Arial"/>
                <w:b/>
                <w:color w:val="FFFFFF"/>
                <w:sz w:val="28"/>
                <w:szCs w:val="28"/>
              </w:rPr>
            </w:pPr>
            <w:r w:rsidRPr="006130FE">
              <w:rPr>
                <w:rFonts w:ascii="Arial" w:hAnsi="Arial" w:cs="Arial"/>
                <w:b/>
                <w:color w:val="FFFFFF"/>
                <w:sz w:val="28"/>
                <w:szCs w:val="28"/>
              </w:rPr>
              <w:t xml:space="preserve">Übersicht: Hier 3 </w:t>
            </w:r>
            <w:r>
              <w:rPr>
                <w:rFonts w:ascii="Arial" w:hAnsi="Arial" w:cs="Arial"/>
                <w:b/>
                <w:color w:val="FFFFFF"/>
                <w:sz w:val="28"/>
                <w:szCs w:val="28"/>
              </w:rPr>
              <w:t>w</w:t>
            </w:r>
            <w:r w:rsidRPr="006130FE">
              <w:rPr>
                <w:rFonts w:ascii="Arial" w:hAnsi="Arial" w:cs="Arial"/>
                <w:b/>
                <w:color w:val="FFFFFF"/>
                <w:sz w:val="28"/>
                <w:szCs w:val="28"/>
              </w:rPr>
              <w:t xml:space="preserve">egweisende Entscheidungen </w:t>
            </w:r>
            <w:r>
              <w:rPr>
                <w:rFonts w:ascii="Arial" w:hAnsi="Arial" w:cs="Arial"/>
                <w:b/>
                <w:color w:val="FFFFFF"/>
                <w:sz w:val="28"/>
                <w:szCs w:val="28"/>
              </w:rPr>
              <w:t>a</w:t>
            </w:r>
            <w:r w:rsidRPr="006130FE">
              <w:rPr>
                <w:rFonts w:ascii="Arial" w:hAnsi="Arial" w:cs="Arial"/>
                <w:b/>
                <w:color w:val="FFFFFF"/>
                <w:sz w:val="28"/>
                <w:szCs w:val="28"/>
              </w:rPr>
              <w:t xml:space="preserve">us </w:t>
            </w:r>
            <w:r>
              <w:rPr>
                <w:rFonts w:ascii="Arial" w:hAnsi="Arial" w:cs="Arial"/>
                <w:b/>
                <w:color w:val="FFFFFF"/>
                <w:sz w:val="28"/>
                <w:szCs w:val="28"/>
              </w:rPr>
              <w:t>d</w:t>
            </w:r>
            <w:r w:rsidRPr="006130FE">
              <w:rPr>
                <w:rFonts w:ascii="Arial" w:hAnsi="Arial" w:cs="Arial"/>
                <w:b/>
                <w:color w:val="FFFFFF"/>
                <w:sz w:val="28"/>
                <w:szCs w:val="28"/>
              </w:rPr>
              <w:t>er Rechtsprechung</w:t>
            </w:r>
          </w:p>
        </w:tc>
      </w:tr>
      <w:tr w:rsidR="006130FE" w:rsidRPr="006130FE" w14:paraId="5F920CC6" w14:textId="77777777" w:rsidTr="006130FE">
        <w:trPr>
          <w:trHeight w:val="117"/>
          <w:jc w:val="center"/>
        </w:trPr>
        <w:tc>
          <w:tcPr>
            <w:tcW w:w="4754" w:type="dxa"/>
            <w:shd w:val="clear" w:color="auto" w:fill="DAEEF3"/>
          </w:tcPr>
          <w:p w14:paraId="22466AE1" w14:textId="77777777" w:rsidR="006130FE" w:rsidRPr="006130FE" w:rsidRDefault="006130FE" w:rsidP="006130FE">
            <w:pPr>
              <w:spacing w:before="120" w:after="120"/>
              <w:rPr>
                <w:rFonts w:ascii="Arial" w:hAnsi="Arial" w:cs="Arial"/>
                <w:b/>
                <w:color w:val="000000" w:themeColor="text1"/>
                <w:sz w:val="24"/>
                <w:szCs w:val="24"/>
              </w:rPr>
            </w:pPr>
            <w:r w:rsidRPr="006130FE">
              <w:rPr>
                <w:rFonts w:ascii="Arial" w:hAnsi="Arial" w:cs="Arial"/>
                <w:b/>
                <w:color w:val="000000" w:themeColor="text1"/>
                <w:sz w:val="24"/>
                <w:szCs w:val="24"/>
              </w:rPr>
              <w:t xml:space="preserve">Der Fall </w:t>
            </w:r>
          </w:p>
        </w:tc>
        <w:tc>
          <w:tcPr>
            <w:tcW w:w="4755" w:type="dxa"/>
            <w:shd w:val="clear" w:color="auto" w:fill="DAEEF3"/>
          </w:tcPr>
          <w:p w14:paraId="027F0FE9" w14:textId="77777777" w:rsidR="006130FE" w:rsidRPr="006130FE" w:rsidRDefault="006130FE" w:rsidP="006130FE">
            <w:pPr>
              <w:spacing w:before="120" w:after="120"/>
              <w:rPr>
                <w:rFonts w:ascii="Arial" w:hAnsi="Arial" w:cs="Arial"/>
                <w:b/>
                <w:color w:val="000000" w:themeColor="text1"/>
                <w:sz w:val="24"/>
                <w:szCs w:val="24"/>
              </w:rPr>
            </w:pPr>
            <w:r w:rsidRPr="006130FE">
              <w:rPr>
                <w:rFonts w:ascii="Arial" w:hAnsi="Arial" w:cs="Arial"/>
                <w:b/>
                <w:color w:val="000000" w:themeColor="text1"/>
                <w:sz w:val="24"/>
                <w:szCs w:val="24"/>
              </w:rPr>
              <w:t xml:space="preserve">Die Entscheidung des Gerichts </w:t>
            </w:r>
          </w:p>
        </w:tc>
      </w:tr>
      <w:tr w:rsidR="006130FE" w:rsidRPr="006130FE" w14:paraId="261D15BF" w14:textId="77777777" w:rsidTr="006130FE">
        <w:trPr>
          <w:trHeight w:val="784"/>
          <w:jc w:val="center"/>
        </w:trPr>
        <w:tc>
          <w:tcPr>
            <w:tcW w:w="4754" w:type="dxa"/>
          </w:tcPr>
          <w:p w14:paraId="0100EB71" w14:textId="48A57844" w:rsidR="006130FE" w:rsidRPr="006130FE" w:rsidRDefault="006130FE" w:rsidP="006130FE">
            <w:pPr>
              <w:spacing w:before="120" w:after="120"/>
              <w:rPr>
                <w:rFonts w:ascii="Arial" w:hAnsi="Arial" w:cs="Arial"/>
                <w:bCs/>
                <w:color w:val="000000" w:themeColor="text1"/>
                <w:sz w:val="24"/>
                <w:szCs w:val="24"/>
              </w:rPr>
            </w:pPr>
            <w:r w:rsidRPr="006130FE">
              <w:rPr>
                <w:rFonts w:ascii="Arial" w:hAnsi="Arial" w:cs="Arial"/>
                <w:bCs/>
                <w:color w:val="000000" w:themeColor="text1"/>
                <w:sz w:val="24"/>
                <w:szCs w:val="24"/>
              </w:rPr>
              <w:t xml:space="preserve">Kündigung und AU decken sich vollständig: Eine Arbeitnehmerin kündigte während der Probezeit am 08.02.2019 zum 22.02.2019. Am selben Tag legte sie eine AU vor, die exakt bis zum Ende der Kündigungsfrist reichte. Der Arbeitgeber verweigerte die Entgeltfortzahlung. Die Arbeitnehmerin klagte und berief sich pauschal auf eine psychosomatische Erkrankung infolge von Mobbing. </w:t>
            </w:r>
          </w:p>
        </w:tc>
        <w:tc>
          <w:tcPr>
            <w:tcW w:w="4755" w:type="dxa"/>
          </w:tcPr>
          <w:p w14:paraId="11217CAE" w14:textId="77777777" w:rsidR="00B66F0C" w:rsidRDefault="006130FE" w:rsidP="006130FE">
            <w:pPr>
              <w:spacing w:before="120" w:after="120"/>
              <w:rPr>
                <w:rFonts w:ascii="Arial" w:hAnsi="Arial" w:cs="Arial"/>
                <w:bCs/>
                <w:color w:val="000000" w:themeColor="text1"/>
                <w:sz w:val="24"/>
                <w:szCs w:val="24"/>
              </w:rPr>
            </w:pPr>
            <w:r w:rsidRPr="006130FE">
              <w:rPr>
                <w:rFonts w:ascii="Arial" w:hAnsi="Arial" w:cs="Arial"/>
                <w:bCs/>
                <w:color w:val="000000" w:themeColor="text1"/>
                <w:sz w:val="24"/>
                <w:szCs w:val="24"/>
              </w:rPr>
              <w:t xml:space="preserve">Das Bundesarbeitsgericht (BAG) gab dem Arbeitgeber recht. Die zeitliche Übereinstimmung von Kündigung und Arbeitsunfähigkeit reichte aus, um den Beweiswert der AU zu erschüttern. Der pauschale Vortrag zu einem „psychosomatischen Hintergrund“ genügte nicht. </w:t>
            </w:r>
          </w:p>
          <w:p w14:paraId="1B54FA90" w14:textId="671AFB24" w:rsidR="006130FE" w:rsidRPr="006130FE" w:rsidRDefault="006130FE" w:rsidP="006130FE">
            <w:pPr>
              <w:spacing w:before="120" w:after="120"/>
              <w:rPr>
                <w:rFonts w:ascii="Arial" w:hAnsi="Arial" w:cs="Arial"/>
                <w:bCs/>
                <w:color w:val="000000" w:themeColor="text1"/>
                <w:sz w:val="24"/>
                <w:szCs w:val="24"/>
              </w:rPr>
            </w:pPr>
            <w:r w:rsidRPr="006130FE">
              <w:rPr>
                <w:rFonts w:ascii="Arial" w:hAnsi="Arial" w:cs="Arial"/>
                <w:bCs/>
                <w:color w:val="000000" w:themeColor="text1"/>
                <w:sz w:val="24"/>
                <w:szCs w:val="24"/>
              </w:rPr>
              <w:t xml:space="preserve">BAG, Urteil vom 08.09.2021, Az. 5 AZR 149/21 </w:t>
            </w:r>
          </w:p>
        </w:tc>
      </w:tr>
      <w:tr w:rsidR="006130FE" w:rsidRPr="006130FE" w14:paraId="560CBBBF" w14:textId="77777777" w:rsidTr="006130FE">
        <w:trPr>
          <w:trHeight w:val="672"/>
          <w:jc w:val="center"/>
        </w:trPr>
        <w:tc>
          <w:tcPr>
            <w:tcW w:w="4754" w:type="dxa"/>
          </w:tcPr>
          <w:p w14:paraId="44D7FE8A" w14:textId="0F039F19" w:rsidR="006130FE" w:rsidRPr="006130FE" w:rsidRDefault="006130FE" w:rsidP="006130FE">
            <w:pPr>
              <w:spacing w:before="120" w:after="120"/>
              <w:rPr>
                <w:rFonts w:ascii="Arial" w:hAnsi="Arial" w:cs="Arial"/>
                <w:bCs/>
                <w:color w:val="000000" w:themeColor="text1"/>
                <w:sz w:val="24"/>
                <w:szCs w:val="24"/>
              </w:rPr>
            </w:pPr>
            <w:r w:rsidRPr="006130FE">
              <w:rPr>
                <w:rFonts w:ascii="Arial" w:hAnsi="Arial" w:cs="Arial"/>
                <w:bCs/>
                <w:color w:val="000000" w:themeColor="text1"/>
                <w:sz w:val="24"/>
                <w:szCs w:val="24"/>
              </w:rPr>
              <w:t xml:space="preserve">Pflegekraft erscheint nach Kündigung nicht mehr zum Dienst: Eine Pflegekraft kündigte am 04.05.2022 zum 15.06.2022 und erschien ab dem Folgetag nicht mehr zur Arbeit. Bis zum Ende des Arbeitsverhältnisses legte sie durchgehend AU-Bescheinigungen vor. Der Arbeitgeber verweigerte die Entgeltfortzahlung. Die Pflegekraft klagte. </w:t>
            </w:r>
          </w:p>
        </w:tc>
        <w:tc>
          <w:tcPr>
            <w:tcW w:w="4755" w:type="dxa"/>
          </w:tcPr>
          <w:p w14:paraId="2D4CD488" w14:textId="40145559" w:rsidR="006130FE" w:rsidRPr="006130FE" w:rsidRDefault="006130FE" w:rsidP="006130FE">
            <w:pPr>
              <w:spacing w:before="120" w:after="120"/>
              <w:rPr>
                <w:rFonts w:ascii="Arial" w:hAnsi="Arial" w:cs="Arial"/>
                <w:bCs/>
                <w:color w:val="000000" w:themeColor="text1"/>
                <w:sz w:val="24"/>
                <w:szCs w:val="24"/>
              </w:rPr>
            </w:pPr>
            <w:r w:rsidRPr="006130FE">
              <w:rPr>
                <w:rFonts w:ascii="Arial" w:hAnsi="Arial" w:cs="Arial"/>
                <w:bCs/>
                <w:color w:val="000000" w:themeColor="text1"/>
                <w:sz w:val="24"/>
                <w:szCs w:val="24"/>
              </w:rPr>
              <w:t xml:space="preserve">Das Landesarbeitsgericht (LAG) Schleswig-Holstein wies die Klage ab. Aufgrund des engen zeitlichen Zusammenhangs zwischen Kündigung und Krankmeldung bestanden berechtigte Zweifel an der Arbeitsunfähigkeit. </w:t>
            </w:r>
          </w:p>
          <w:p w14:paraId="77821FD9" w14:textId="77777777" w:rsidR="006130FE" w:rsidRPr="006130FE" w:rsidRDefault="006130FE" w:rsidP="006130FE">
            <w:pPr>
              <w:spacing w:before="120" w:after="120"/>
              <w:rPr>
                <w:rFonts w:ascii="Arial" w:hAnsi="Arial" w:cs="Arial"/>
                <w:bCs/>
                <w:color w:val="000000" w:themeColor="text1"/>
                <w:sz w:val="24"/>
                <w:szCs w:val="24"/>
              </w:rPr>
            </w:pPr>
            <w:r w:rsidRPr="006130FE">
              <w:rPr>
                <w:rFonts w:ascii="Arial" w:hAnsi="Arial" w:cs="Arial"/>
                <w:bCs/>
                <w:color w:val="000000" w:themeColor="text1"/>
                <w:sz w:val="24"/>
                <w:szCs w:val="24"/>
              </w:rPr>
              <w:t xml:space="preserve">LAG, Urteil vom 02.05.2023, Az. 2 Sa 203/22 </w:t>
            </w:r>
          </w:p>
        </w:tc>
      </w:tr>
      <w:tr w:rsidR="006130FE" w:rsidRPr="006130FE" w14:paraId="1D82346A" w14:textId="77777777" w:rsidTr="006130FE">
        <w:trPr>
          <w:trHeight w:val="561"/>
          <w:jc w:val="center"/>
        </w:trPr>
        <w:tc>
          <w:tcPr>
            <w:tcW w:w="4754" w:type="dxa"/>
          </w:tcPr>
          <w:p w14:paraId="418B683A" w14:textId="5D1696FC" w:rsidR="006130FE" w:rsidRPr="006130FE" w:rsidRDefault="006130FE" w:rsidP="006130FE">
            <w:pPr>
              <w:spacing w:before="120" w:after="120"/>
              <w:rPr>
                <w:rFonts w:ascii="Arial" w:hAnsi="Arial" w:cs="Arial"/>
                <w:bCs/>
                <w:color w:val="000000" w:themeColor="text1"/>
                <w:sz w:val="24"/>
                <w:szCs w:val="24"/>
              </w:rPr>
            </w:pPr>
            <w:r w:rsidRPr="006130FE">
              <w:rPr>
                <w:rFonts w:ascii="Arial" w:hAnsi="Arial" w:cs="Arial"/>
                <w:bCs/>
                <w:color w:val="000000" w:themeColor="text1"/>
                <w:sz w:val="24"/>
                <w:szCs w:val="24"/>
              </w:rPr>
              <w:t xml:space="preserve">Zeitlich auffällige Krankschreibung nach Eigenkündigung: Eine Arbeitnehmerin meldete sich nach eigener Kündigung passgenau bis zum Ende der Kündigungsfrist arbeitsunfähig. Der Arbeitgeber zweifelte den Beweiswert der AU an und verweigerte die Entgeltfortzahlung. </w:t>
            </w:r>
          </w:p>
        </w:tc>
        <w:tc>
          <w:tcPr>
            <w:tcW w:w="4755" w:type="dxa"/>
          </w:tcPr>
          <w:p w14:paraId="5D75A814" w14:textId="77777777" w:rsidR="00B66F0C" w:rsidRDefault="006130FE" w:rsidP="006130FE">
            <w:pPr>
              <w:spacing w:before="120" w:after="120"/>
              <w:rPr>
                <w:rFonts w:ascii="Arial" w:hAnsi="Arial" w:cs="Arial"/>
                <w:bCs/>
                <w:color w:val="000000" w:themeColor="text1"/>
                <w:sz w:val="24"/>
                <w:szCs w:val="24"/>
              </w:rPr>
            </w:pPr>
            <w:r w:rsidRPr="006130FE">
              <w:rPr>
                <w:rFonts w:ascii="Arial" w:hAnsi="Arial" w:cs="Arial"/>
                <w:bCs/>
                <w:color w:val="000000" w:themeColor="text1"/>
                <w:sz w:val="24"/>
                <w:szCs w:val="24"/>
              </w:rPr>
              <w:t xml:space="preserve">Das BAG bestätigte, dass der Beweiswert einer zeitlich auffälligen Krankschreibung nach Eigenkündigung erschüttert sein kann. Bestehen konkrete Zweifel an der tatsächlichen Arbeitsunfähigkeit, kann dies den Anspruch auf Entgeltfortzahlung gefährden. </w:t>
            </w:r>
          </w:p>
          <w:p w14:paraId="1C2A4ABF" w14:textId="647E5452" w:rsidR="006130FE" w:rsidRPr="006130FE" w:rsidRDefault="006130FE" w:rsidP="006130FE">
            <w:pPr>
              <w:spacing w:before="120" w:after="120"/>
              <w:rPr>
                <w:rFonts w:ascii="Arial" w:hAnsi="Arial" w:cs="Arial"/>
                <w:bCs/>
                <w:color w:val="000000" w:themeColor="text1"/>
                <w:sz w:val="24"/>
                <w:szCs w:val="24"/>
              </w:rPr>
            </w:pPr>
            <w:r w:rsidRPr="006130FE">
              <w:rPr>
                <w:rFonts w:ascii="Arial" w:hAnsi="Arial" w:cs="Arial"/>
                <w:bCs/>
                <w:color w:val="000000" w:themeColor="text1"/>
                <w:sz w:val="24"/>
                <w:szCs w:val="24"/>
              </w:rPr>
              <w:t xml:space="preserve">BAG, Urteil vom 21.08.2024, Az. 5 AZR 248/23 </w:t>
            </w:r>
          </w:p>
        </w:tc>
      </w:tr>
    </w:tbl>
    <w:p w14:paraId="17BB5CB8" w14:textId="77777777" w:rsidR="00D81932" w:rsidRDefault="00D81932" w:rsidP="00581B4B">
      <w:pPr>
        <w:rPr>
          <w:bCs/>
        </w:rPr>
      </w:pPr>
    </w:p>
    <w:sectPr w:rsidR="00D81932" w:rsidSect="00762E1E">
      <w:headerReference w:type="default" r:id="rId7"/>
      <w:pgSz w:w="11906" w:h="16838" w:code="9"/>
      <w:pgMar w:top="-709"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D9D1" w14:textId="77777777" w:rsidR="0064251D" w:rsidRDefault="0064251D" w:rsidP="002A5D13">
      <w:pPr>
        <w:spacing w:after="0" w:line="240" w:lineRule="auto"/>
      </w:pPr>
      <w:r>
        <w:separator/>
      </w:r>
    </w:p>
  </w:endnote>
  <w:endnote w:type="continuationSeparator" w:id="0">
    <w:p w14:paraId="54EE43AB" w14:textId="77777777" w:rsidR="0064251D" w:rsidRDefault="0064251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3ED0" w14:textId="77777777" w:rsidR="0064251D" w:rsidRDefault="0064251D" w:rsidP="002A5D13">
      <w:pPr>
        <w:spacing w:after="0" w:line="240" w:lineRule="auto"/>
      </w:pPr>
      <w:r>
        <w:separator/>
      </w:r>
    </w:p>
  </w:footnote>
  <w:footnote w:type="continuationSeparator" w:id="0">
    <w:p w14:paraId="171B153B" w14:textId="77777777" w:rsidR="0064251D" w:rsidRDefault="0064251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0EAD9F3" w:rsidR="007A7CA7" w:rsidRPr="00E74AD6" w:rsidRDefault="00D97E25" w:rsidP="00D97E25">
          <w:pPr>
            <w:pStyle w:val="Kopfzeile"/>
            <w:jc w:val="center"/>
            <w:rPr>
              <w:b/>
              <w:color w:val="DAEEF3"/>
            </w:rPr>
          </w:pPr>
          <w:r>
            <w:rPr>
              <w:b/>
              <w:color w:val="DAEEF3"/>
              <w:sz w:val="24"/>
            </w:rPr>
            <w:t>Ausgabe 0</w:t>
          </w:r>
          <w:r w:rsidR="006D7D12">
            <w:rPr>
              <w:b/>
              <w:color w:val="DAEEF3"/>
              <w:sz w:val="24"/>
            </w:rPr>
            <w:t>5</w:t>
          </w:r>
          <w:r w:rsidR="00A42A0D">
            <w:rPr>
              <w:b/>
              <w:color w:val="DAEEF3"/>
              <w:sz w:val="24"/>
            </w:rPr>
            <w:t xml:space="preserve"> </w:t>
          </w:r>
          <w:r w:rsidR="006130FE">
            <w:rPr>
              <w:b/>
              <w:color w:val="DAEEF3"/>
              <w:sz w:val="24"/>
            </w:rPr>
            <w:t>–</w:t>
          </w:r>
          <w:r w:rsidR="00A42A0D">
            <w:rPr>
              <w:b/>
              <w:color w:val="DAEEF3"/>
              <w:sz w:val="24"/>
            </w:rPr>
            <w:t xml:space="preserve"> 20</w:t>
          </w:r>
          <w:r w:rsidR="009000A8">
            <w:rPr>
              <w:b/>
              <w:color w:val="DAEEF3"/>
              <w:sz w:val="24"/>
            </w:rPr>
            <w:t>2</w:t>
          </w:r>
          <w:r w:rsidR="002F41D3">
            <w:rPr>
              <w:b/>
              <w:color w:val="DAEEF3"/>
              <w:sz w:val="24"/>
            </w:rPr>
            <w:t>6</w:t>
          </w:r>
          <w:r w:rsidR="006130FE">
            <w:rPr>
              <w:b/>
              <w:color w:val="DAEEF3"/>
              <w:sz w:val="24"/>
            </w:rPr>
            <w:t xml:space="preserve"> TH</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FF4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7D69C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7F20A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FE16DA"/>
    <w:multiLevelType w:val="hybridMultilevel"/>
    <w:tmpl w:val="A822CFA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50F20"/>
    <w:multiLevelType w:val="hybridMultilevel"/>
    <w:tmpl w:val="C4D00F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8"/>
  </w:num>
  <w:num w:numId="2" w16cid:durableId="1523666159">
    <w:abstractNumId w:val="29"/>
  </w:num>
  <w:num w:numId="3" w16cid:durableId="1865754299">
    <w:abstractNumId w:val="34"/>
  </w:num>
  <w:num w:numId="4" w16cid:durableId="818304963">
    <w:abstractNumId w:val="19"/>
  </w:num>
  <w:num w:numId="5" w16cid:durableId="909541012">
    <w:abstractNumId w:val="10"/>
  </w:num>
  <w:num w:numId="6" w16cid:durableId="1327440480">
    <w:abstractNumId w:val="15"/>
  </w:num>
  <w:num w:numId="7" w16cid:durableId="1965695332">
    <w:abstractNumId w:val="22"/>
  </w:num>
  <w:num w:numId="8" w16cid:durableId="1631742190">
    <w:abstractNumId w:val="21"/>
  </w:num>
  <w:num w:numId="9" w16cid:durableId="507452013">
    <w:abstractNumId w:val="16"/>
  </w:num>
  <w:num w:numId="10" w16cid:durableId="1380588834">
    <w:abstractNumId w:val="6"/>
  </w:num>
  <w:num w:numId="11" w16cid:durableId="905796348">
    <w:abstractNumId w:val="30"/>
  </w:num>
  <w:num w:numId="12" w16cid:durableId="561402115">
    <w:abstractNumId w:val="24"/>
  </w:num>
  <w:num w:numId="13" w16cid:durableId="2137408609">
    <w:abstractNumId w:val="25"/>
  </w:num>
  <w:num w:numId="14" w16cid:durableId="1825924056">
    <w:abstractNumId w:val="23"/>
  </w:num>
  <w:num w:numId="15" w16cid:durableId="1575043430">
    <w:abstractNumId w:val="26"/>
  </w:num>
  <w:num w:numId="16" w16cid:durableId="260797494">
    <w:abstractNumId w:val="27"/>
  </w:num>
  <w:num w:numId="17" w16cid:durableId="1416823773">
    <w:abstractNumId w:val="28"/>
  </w:num>
  <w:num w:numId="18" w16cid:durableId="870455365">
    <w:abstractNumId w:val="5"/>
  </w:num>
  <w:num w:numId="19" w16cid:durableId="352223203">
    <w:abstractNumId w:val="4"/>
  </w:num>
  <w:num w:numId="20" w16cid:durableId="859202725">
    <w:abstractNumId w:val="3"/>
  </w:num>
  <w:num w:numId="21" w16cid:durableId="767504800">
    <w:abstractNumId w:val="2"/>
  </w:num>
  <w:num w:numId="22" w16cid:durableId="1270619908">
    <w:abstractNumId w:val="1"/>
  </w:num>
  <w:num w:numId="23" w16cid:durableId="1497067334">
    <w:abstractNumId w:val="12"/>
  </w:num>
  <w:num w:numId="24" w16cid:durableId="756941337">
    <w:abstractNumId w:val="8"/>
  </w:num>
  <w:num w:numId="25" w16cid:durableId="1145244037">
    <w:abstractNumId w:val="9"/>
  </w:num>
  <w:num w:numId="26" w16cid:durableId="1266232381">
    <w:abstractNumId w:val="31"/>
  </w:num>
  <w:num w:numId="27" w16cid:durableId="379787300">
    <w:abstractNumId w:val="33"/>
  </w:num>
  <w:num w:numId="28" w16cid:durableId="424151893">
    <w:abstractNumId w:val="35"/>
  </w:num>
  <w:num w:numId="29" w16cid:durableId="107509980">
    <w:abstractNumId w:val="32"/>
  </w:num>
  <w:num w:numId="30" w16cid:durableId="223221979">
    <w:abstractNumId w:val="13"/>
  </w:num>
  <w:num w:numId="31" w16cid:durableId="817040694">
    <w:abstractNumId w:val="14"/>
  </w:num>
  <w:num w:numId="32" w16cid:durableId="1485049857">
    <w:abstractNumId w:val="0"/>
  </w:num>
  <w:num w:numId="33" w16cid:durableId="1686176249">
    <w:abstractNumId w:val="17"/>
  </w:num>
  <w:num w:numId="34" w16cid:durableId="417796684">
    <w:abstractNumId w:val="7"/>
  </w:num>
  <w:num w:numId="35" w16cid:durableId="795609709">
    <w:abstractNumId w:val="11"/>
  </w:num>
  <w:num w:numId="36" w16cid:durableId="9135168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1CA8"/>
    <w:rsid w:val="000B50CC"/>
    <w:rsid w:val="000C66D4"/>
    <w:rsid w:val="000C6A2D"/>
    <w:rsid w:val="0015409B"/>
    <w:rsid w:val="001B429B"/>
    <w:rsid w:val="001E33AA"/>
    <w:rsid w:val="00205D0C"/>
    <w:rsid w:val="00217E03"/>
    <w:rsid w:val="00243397"/>
    <w:rsid w:val="0027096C"/>
    <w:rsid w:val="002766CF"/>
    <w:rsid w:val="00282C09"/>
    <w:rsid w:val="0028515F"/>
    <w:rsid w:val="002A5D13"/>
    <w:rsid w:val="002B029B"/>
    <w:rsid w:val="002B4419"/>
    <w:rsid w:val="002D45E4"/>
    <w:rsid w:val="002E1753"/>
    <w:rsid w:val="002E4378"/>
    <w:rsid w:val="002F41D3"/>
    <w:rsid w:val="00350508"/>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30FE"/>
    <w:rsid w:val="00614D0A"/>
    <w:rsid w:val="0064251D"/>
    <w:rsid w:val="00644CE3"/>
    <w:rsid w:val="00653E72"/>
    <w:rsid w:val="00661981"/>
    <w:rsid w:val="00672352"/>
    <w:rsid w:val="006910F2"/>
    <w:rsid w:val="006A5CFE"/>
    <w:rsid w:val="006D7D12"/>
    <w:rsid w:val="006E18EF"/>
    <w:rsid w:val="00762E1E"/>
    <w:rsid w:val="00767817"/>
    <w:rsid w:val="007A7CA7"/>
    <w:rsid w:val="007B0290"/>
    <w:rsid w:val="007B1333"/>
    <w:rsid w:val="007C0AE5"/>
    <w:rsid w:val="007D2F6C"/>
    <w:rsid w:val="007D34A4"/>
    <w:rsid w:val="007E1A2E"/>
    <w:rsid w:val="00841FA8"/>
    <w:rsid w:val="008522CE"/>
    <w:rsid w:val="00852BFB"/>
    <w:rsid w:val="008633AC"/>
    <w:rsid w:val="00887070"/>
    <w:rsid w:val="008A7557"/>
    <w:rsid w:val="008B1F83"/>
    <w:rsid w:val="008C0D29"/>
    <w:rsid w:val="008D4072"/>
    <w:rsid w:val="008E62B1"/>
    <w:rsid w:val="009000A8"/>
    <w:rsid w:val="009352A5"/>
    <w:rsid w:val="00937B0B"/>
    <w:rsid w:val="009433D9"/>
    <w:rsid w:val="00983536"/>
    <w:rsid w:val="00985C2F"/>
    <w:rsid w:val="009A6365"/>
    <w:rsid w:val="009B721F"/>
    <w:rsid w:val="009E6591"/>
    <w:rsid w:val="009F64ED"/>
    <w:rsid w:val="00A06C64"/>
    <w:rsid w:val="00A42A0D"/>
    <w:rsid w:val="00AD39D1"/>
    <w:rsid w:val="00AD5172"/>
    <w:rsid w:val="00AF17D9"/>
    <w:rsid w:val="00B01FFE"/>
    <w:rsid w:val="00B16885"/>
    <w:rsid w:val="00B66F0C"/>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81932"/>
    <w:rsid w:val="00D96EA7"/>
    <w:rsid w:val="00D97E25"/>
    <w:rsid w:val="00DA1ADE"/>
    <w:rsid w:val="00DB32C7"/>
    <w:rsid w:val="00DD233A"/>
    <w:rsid w:val="00E028D9"/>
    <w:rsid w:val="00E2265E"/>
    <w:rsid w:val="00E74AD6"/>
    <w:rsid w:val="00ED7053"/>
    <w:rsid w:val="00F20663"/>
    <w:rsid w:val="00F57C10"/>
    <w:rsid w:val="00F66C11"/>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2026-02-09T15:24:00Z</dcterms:created>
  <dcterms:modified xsi:type="dcterms:W3CDTF">2026-02-09T15:24:00Z</dcterms:modified>
</cp:coreProperties>
</file>