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52E75" w14:textId="4755FADF" w:rsidR="007D2190" w:rsidRDefault="007A7CA7" w:rsidP="007D2190">
      <w:pPr>
        <w:tabs>
          <w:tab w:val="left" w:pos="5280"/>
        </w:tabs>
        <w:rPr>
          <w:b/>
          <w:noProof/>
          <w:lang w:eastAsia="de-DE"/>
        </w:rPr>
      </w:pPr>
      <w:r>
        <w:rPr>
          <w:b/>
          <w:noProof/>
          <w:lang w:eastAsia="de-DE"/>
        </w:rPr>
        <w:tab/>
      </w:r>
    </w:p>
    <w:p w14:paraId="5C7AAB9B" w14:textId="77777777" w:rsidR="007D2190" w:rsidRPr="007D2190" w:rsidRDefault="007D2190" w:rsidP="007D2190">
      <w:pPr>
        <w:tabs>
          <w:tab w:val="left" w:pos="5280"/>
        </w:tabs>
        <w:rPr>
          <w:b/>
          <w:noProof/>
          <w:lang w:eastAsia="de-DE"/>
        </w:rPr>
      </w:pPr>
    </w:p>
    <w:tbl>
      <w:tblPr>
        <w:tblStyle w:val="Tabellenraster"/>
        <w:tblW w:w="9776" w:type="dxa"/>
        <w:jc w:val="center"/>
        <w:tblLook w:val="04A0" w:firstRow="1" w:lastRow="0" w:firstColumn="1" w:lastColumn="0" w:noHBand="0" w:noVBand="1"/>
      </w:tblPr>
      <w:tblGrid>
        <w:gridCol w:w="2897"/>
        <w:gridCol w:w="6879"/>
      </w:tblGrid>
      <w:tr w:rsidR="007D2190" w:rsidRPr="007D2190" w14:paraId="5C8DDB14" w14:textId="77777777" w:rsidTr="007D2190">
        <w:trPr>
          <w:jc w:val="center"/>
        </w:trPr>
        <w:tc>
          <w:tcPr>
            <w:tcW w:w="9776" w:type="dxa"/>
            <w:gridSpan w:val="2"/>
            <w:tcBorders>
              <w:top w:val="single" w:sz="4" w:space="0" w:color="auto"/>
              <w:left w:val="single" w:sz="4" w:space="0" w:color="auto"/>
              <w:bottom w:val="single" w:sz="4" w:space="0" w:color="auto"/>
              <w:right w:val="single" w:sz="4" w:space="0" w:color="auto"/>
            </w:tcBorders>
            <w:shd w:val="clear" w:color="auto" w:fill="0099CC"/>
          </w:tcPr>
          <w:p w14:paraId="29848923" w14:textId="7715B474" w:rsidR="007D2190" w:rsidRPr="007D2190" w:rsidRDefault="007D2190" w:rsidP="007D2190">
            <w:pPr>
              <w:spacing w:before="120" w:after="120"/>
              <w:rPr>
                <w:rFonts w:ascii="Arial" w:eastAsia="Calibri" w:hAnsi="Arial" w:cs="Arial"/>
                <w:b/>
                <w:color w:val="FFFFFF"/>
                <w:sz w:val="28"/>
                <w:szCs w:val="28"/>
              </w:rPr>
            </w:pPr>
            <w:r w:rsidRPr="007D2190">
              <w:rPr>
                <w:rFonts w:ascii="Arial" w:eastAsia="Calibri" w:hAnsi="Arial" w:cs="Arial"/>
                <w:b/>
                <w:color w:val="FFFFFF"/>
                <w:sz w:val="28"/>
                <w:szCs w:val="28"/>
              </w:rPr>
              <w:t>Übersicht: Qualitätsaspekte Qualitätsbereich 2</w:t>
            </w:r>
          </w:p>
        </w:tc>
      </w:tr>
      <w:tr w:rsidR="007D2190" w:rsidRPr="007D2190" w14:paraId="2174DE58" w14:textId="77777777" w:rsidTr="007D2190">
        <w:trPr>
          <w:jc w:val="center"/>
        </w:trPr>
        <w:tc>
          <w:tcPr>
            <w:tcW w:w="2897" w:type="dxa"/>
            <w:tcBorders>
              <w:top w:val="single" w:sz="4" w:space="0" w:color="auto"/>
              <w:left w:val="single" w:sz="4" w:space="0" w:color="auto"/>
              <w:bottom w:val="single" w:sz="4" w:space="0" w:color="auto"/>
              <w:right w:val="single" w:sz="4" w:space="0" w:color="auto"/>
            </w:tcBorders>
            <w:shd w:val="clear" w:color="auto" w:fill="DAEEF3"/>
            <w:hideMark/>
          </w:tcPr>
          <w:p w14:paraId="424FC5A2" w14:textId="77777777" w:rsidR="007D2190" w:rsidRPr="007D2190" w:rsidRDefault="007D2190" w:rsidP="007D2190">
            <w:pPr>
              <w:spacing w:before="120" w:after="120"/>
              <w:rPr>
                <w:rFonts w:ascii="Arial" w:hAnsi="Arial" w:cs="Arial"/>
                <w:b/>
                <w:bCs/>
                <w:color w:val="000000" w:themeColor="text1"/>
                <w:sz w:val="24"/>
              </w:rPr>
            </w:pPr>
            <w:r w:rsidRPr="007D2190">
              <w:rPr>
                <w:rFonts w:ascii="Arial" w:hAnsi="Arial" w:cs="Arial"/>
                <w:b/>
                <w:bCs/>
                <w:color w:val="000000" w:themeColor="text1"/>
                <w:sz w:val="24"/>
              </w:rPr>
              <w:t>Anleitung und Beratung pflegender Angehöriger zur Verbesserung der Pflegekompetenz</w:t>
            </w:r>
          </w:p>
        </w:tc>
        <w:tc>
          <w:tcPr>
            <w:tcW w:w="6879" w:type="dxa"/>
            <w:tcBorders>
              <w:top w:val="single" w:sz="4" w:space="0" w:color="auto"/>
              <w:left w:val="single" w:sz="4" w:space="0" w:color="auto"/>
              <w:bottom w:val="single" w:sz="4" w:space="0" w:color="auto"/>
              <w:right w:val="single" w:sz="4" w:space="0" w:color="auto"/>
            </w:tcBorders>
          </w:tcPr>
          <w:p w14:paraId="68E16E35" w14:textId="12677AA9" w:rsidR="007D2190" w:rsidRPr="007D2190" w:rsidRDefault="007D2190" w:rsidP="007D2190">
            <w:pPr>
              <w:spacing w:before="120" w:after="120"/>
              <w:rPr>
                <w:rFonts w:ascii="Arial" w:hAnsi="Arial" w:cs="Arial"/>
                <w:color w:val="000000" w:themeColor="text1"/>
                <w:sz w:val="24"/>
              </w:rPr>
            </w:pPr>
            <w:r w:rsidRPr="00890332">
              <w:rPr>
                <w:rFonts w:ascii="Arial" w:hAnsi="Arial" w:cs="Arial"/>
                <w:b/>
                <w:bCs/>
                <w:color w:val="000000" w:themeColor="text1"/>
                <w:sz w:val="24"/>
              </w:rPr>
              <w:t>Qualitätsaussage:</w:t>
            </w:r>
            <w:r w:rsidRPr="007D2190">
              <w:rPr>
                <w:rFonts w:ascii="Arial" w:hAnsi="Arial" w:cs="Arial"/>
                <w:color w:val="000000" w:themeColor="text1"/>
                <w:sz w:val="24"/>
              </w:rPr>
              <w:t xml:space="preserve"> Pflegende An- und Zugehörige erhalten Anleitung und Beratung zur Verbesserung ihrer Pflegekompetenz. Anleitung und Beratung sind auf die individuellen Lernvoraussetzungen, die individuelle Pflegesituation sowie die Wünsche der An- und Zugehörigen abgestimmt.</w:t>
            </w:r>
          </w:p>
          <w:p w14:paraId="661FCBE6" w14:textId="1EB8FE68" w:rsidR="007D2190" w:rsidRPr="007D2190" w:rsidRDefault="007D2190" w:rsidP="007D2190">
            <w:pPr>
              <w:spacing w:before="120" w:after="120"/>
              <w:rPr>
                <w:rFonts w:ascii="Arial" w:hAnsi="Arial" w:cs="Arial"/>
                <w:color w:val="000000" w:themeColor="text1"/>
                <w:sz w:val="24"/>
              </w:rPr>
            </w:pPr>
            <w:r w:rsidRPr="007D2190">
              <w:rPr>
                <w:rFonts w:ascii="Arial" w:hAnsi="Arial" w:cs="Arial"/>
                <w:color w:val="000000" w:themeColor="text1"/>
                <w:sz w:val="24"/>
              </w:rPr>
              <w:t>Die MD-Prüfer werden feststellen, wie Sie Maßnahmen der Anleitung und Beratung durchführen. Wesentliche Elemente hierbei sind die Situations- und Problemanalyse (Bedarfsermittlung), die Planung und Durchführung edukativer* Maßnahmen und die anschließende Überprüfung ihrer Wirkung bei den pflegenden An- und Zugehörigen. Den gesamten Prozess müssen Sie dabei auf die Interessen und Bedürfnisse der bzw. des pflegenden An- und Zugehörigen abstimmen. Neu ist, dass die Maßnahmen zur Anleitung und Beratung laut der aktuellen QPR nur Pflegefachpersonen mit einer mindestens 3-jährigen Ausbildung sowie mit nachgewiesener Beratungskompetenz durchführen dürfen. Sofern Sie entsprechende Rahmenvereinbarungen oder vertragliche Voraussetzungen zur Leistungserbringung mit den Pflegekassen vereinbart haben, sind die dort vereinbarten Qualifikationsniveaus maßgeblich.</w:t>
            </w:r>
          </w:p>
          <w:p w14:paraId="6CDE266C" w14:textId="77777777" w:rsidR="007D2190" w:rsidRPr="007D2190" w:rsidRDefault="007D2190" w:rsidP="007D2190">
            <w:pPr>
              <w:spacing w:before="120" w:after="120"/>
              <w:rPr>
                <w:rFonts w:ascii="Arial" w:hAnsi="Arial" w:cs="Arial"/>
                <w:color w:val="000000" w:themeColor="text1"/>
                <w:sz w:val="24"/>
              </w:rPr>
            </w:pPr>
            <w:r w:rsidRPr="00890332">
              <w:rPr>
                <w:rFonts w:ascii="Arial" w:hAnsi="Arial" w:cs="Arial"/>
                <w:b/>
                <w:bCs/>
                <w:color w:val="000000" w:themeColor="text1"/>
                <w:sz w:val="24"/>
              </w:rPr>
              <w:t>Wichtig:</w:t>
            </w:r>
            <w:r w:rsidRPr="007D2190">
              <w:rPr>
                <w:rFonts w:ascii="Arial" w:hAnsi="Arial" w:cs="Arial"/>
                <w:color w:val="000000" w:themeColor="text1"/>
                <w:sz w:val="24"/>
              </w:rPr>
              <w:t xml:space="preserve"> Dieser Qualitätsaspekt 2.9 wird nur dann durch die MD-Prüfer gesondert beurteilt, wenn die Verbesserung der Pflegekompetenz der </w:t>
            </w:r>
            <w:proofErr w:type="gramStart"/>
            <w:r w:rsidRPr="007D2190">
              <w:rPr>
                <w:rFonts w:ascii="Arial" w:hAnsi="Arial" w:cs="Arial"/>
                <w:color w:val="000000" w:themeColor="text1"/>
                <w:sz w:val="24"/>
              </w:rPr>
              <w:t>An- und Zugehörigen</w:t>
            </w:r>
            <w:proofErr w:type="gramEnd"/>
            <w:r w:rsidRPr="007D2190">
              <w:rPr>
                <w:rFonts w:ascii="Arial" w:hAnsi="Arial" w:cs="Arial"/>
                <w:color w:val="000000" w:themeColor="text1"/>
                <w:sz w:val="24"/>
              </w:rPr>
              <w:t xml:space="preserve"> expliziter Auftrag (vereinbarte Leistung) des ambulanten Pflegedienstes ist und die Verbesserung pflegerischer Fähigkeiten und Kenntnisse der An- und Zugehörigen ein eigenständiges Ziel der Unterstützung darstellt, dessen Erreichen im Rahmen des Pflegeprozesses reflektiert und überprüft wird. </w:t>
            </w:r>
            <w:proofErr w:type="gramStart"/>
            <w:r w:rsidRPr="007D2190">
              <w:rPr>
                <w:rFonts w:ascii="Arial" w:hAnsi="Arial" w:cs="Arial"/>
                <w:color w:val="000000" w:themeColor="text1"/>
                <w:sz w:val="24"/>
              </w:rPr>
              <w:t>Erfolgt</w:t>
            </w:r>
            <w:proofErr w:type="gramEnd"/>
            <w:r w:rsidRPr="007D2190">
              <w:rPr>
                <w:rFonts w:ascii="Arial" w:hAnsi="Arial" w:cs="Arial"/>
                <w:color w:val="000000" w:themeColor="text1"/>
                <w:sz w:val="24"/>
              </w:rPr>
              <w:t xml:space="preserve"> die Anleitung und Beratung pflegender An- und Zugehöriger während der Durchführung der vereinbarten pflegerischen Leistungen, dann sind sie lediglich als Teilaspekt dieser Leistungen zu behandeln. </w:t>
            </w:r>
          </w:p>
        </w:tc>
      </w:tr>
      <w:tr w:rsidR="007D2190" w:rsidRPr="007D2190" w14:paraId="2FA184B6" w14:textId="77777777" w:rsidTr="007D2190">
        <w:trPr>
          <w:jc w:val="center"/>
        </w:trPr>
        <w:tc>
          <w:tcPr>
            <w:tcW w:w="2897" w:type="dxa"/>
            <w:tcBorders>
              <w:top w:val="single" w:sz="4" w:space="0" w:color="auto"/>
              <w:left w:val="single" w:sz="4" w:space="0" w:color="auto"/>
              <w:bottom w:val="single" w:sz="4" w:space="0" w:color="auto"/>
              <w:right w:val="single" w:sz="4" w:space="0" w:color="auto"/>
            </w:tcBorders>
            <w:shd w:val="clear" w:color="auto" w:fill="DAEEF3"/>
            <w:hideMark/>
          </w:tcPr>
          <w:p w14:paraId="1B829908" w14:textId="77777777" w:rsidR="007D2190" w:rsidRPr="007D2190" w:rsidRDefault="007D2190" w:rsidP="007D2190">
            <w:pPr>
              <w:spacing w:before="120" w:after="120"/>
              <w:rPr>
                <w:rFonts w:ascii="Arial" w:hAnsi="Arial" w:cs="Arial"/>
                <w:b/>
                <w:bCs/>
                <w:color w:val="000000" w:themeColor="text1"/>
                <w:sz w:val="24"/>
              </w:rPr>
            </w:pPr>
            <w:r w:rsidRPr="007D2190">
              <w:rPr>
                <w:rFonts w:ascii="Arial" w:hAnsi="Arial" w:cs="Arial"/>
                <w:b/>
                <w:bCs/>
                <w:color w:val="000000" w:themeColor="text1"/>
                <w:sz w:val="24"/>
              </w:rPr>
              <w:lastRenderedPageBreak/>
              <w:t>Anleitung und Beratung der versorgten Person zur Verbesserung der Selbstpflegekompetenz</w:t>
            </w:r>
          </w:p>
        </w:tc>
        <w:tc>
          <w:tcPr>
            <w:tcW w:w="6879" w:type="dxa"/>
            <w:tcBorders>
              <w:top w:val="single" w:sz="4" w:space="0" w:color="auto"/>
              <w:left w:val="single" w:sz="4" w:space="0" w:color="auto"/>
              <w:bottom w:val="single" w:sz="4" w:space="0" w:color="auto"/>
              <w:right w:val="single" w:sz="4" w:space="0" w:color="auto"/>
            </w:tcBorders>
          </w:tcPr>
          <w:p w14:paraId="2E0FAAA4" w14:textId="439CF57C" w:rsidR="007D2190" w:rsidRPr="007D2190" w:rsidRDefault="007D2190" w:rsidP="007D2190">
            <w:pPr>
              <w:spacing w:before="120" w:after="120"/>
              <w:rPr>
                <w:rFonts w:ascii="Arial" w:hAnsi="Arial" w:cs="Arial"/>
                <w:color w:val="000000" w:themeColor="text1"/>
                <w:sz w:val="24"/>
              </w:rPr>
            </w:pPr>
            <w:r w:rsidRPr="00890332">
              <w:rPr>
                <w:rFonts w:ascii="Arial" w:hAnsi="Arial" w:cs="Arial"/>
                <w:b/>
                <w:bCs/>
                <w:color w:val="000000" w:themeColor="text1"/>
                <w:sz w:val="24"/>
              </w:rPr>
              <w:t>Qualitätsaussage:</w:t>
            </w:r>
            <w:r w:rsidRPr="007D2190">
              <w:rPr>
                <w:rFonts w:ascii="Arial" w:hAnsi="Arial" w:cs="Arial"/>
                <w:color w:val="000000" w:themeColor="text1"/>
                <w:sz w:val="24"/>
              </w:rPr>
              <w:t xml:space="preserve"> Die versorgte Person erhält Anleitung und Beratung zur Verbesserung ihrer Pflegekompetenz. Anleitung und Beratung sind auf die individuellen Lernvoraussetzungen, die individuelle Pflegesituation sowie die Wünsche der versorgten Person abgestimmt.</w:t>
            </w:r>
          </w:p>
          <w:p w14:paraId="15253F65" w14:textId="7D097E90" w:rsidR="007D2190" w:rsidRPr="007D2190" w:rsidRDefault="007D2190" w:rsidP="007D2190">
            <w:pPr>
              <w:spacing w:before="120" w:after="120"/>
              <w:rPr>
                <w:rFonts w:ascii="Arial" w:hAnsi="Arial" w:cs="Arial"/>
                <w:color w:val="000000" w:themeColor="text1"/>
                <w:sz w:val="24"/>
              </w:rPr>
            </w:pPr>
            <w:r w:rsidRPr="007D2190">
              <w:rPr>
                <w:rFonts w:ascii="Arial" w:hAnsi="Arial" w:cs="Arial"/>
                <w:color w:val="000000" w:themeColor="text1"/>
                <w:sz w:val="24"/>
              </w:rPr>
              <w:t>Zu prüfen ist hier, wie Sie Maßnahmen der Anleitung und Beratung durchführen. Wesentliche Elemente sind die Situations- und Problemanalyse (Bedarfsermittlung), die Planung und Durchführung edukativer* Maßnahmen und die anschließende Überprüfung ihrer Wirkung. Der gesamte Prozess ist dabei auf die Interessen und Bedürfnisse Ihres Pflegekunden abzustimmen. Wie auch im vorherigen Qualitätsaspekt dürfen die Maßnahmen zur Anleitung und Beratung laut der aktuellen QPR nur von Pflegefachpersonen mit einer mindestens 3-jährigen Ausbildung sowie mit nachgewiesener Beratungskompetenz durchgeführt werden. Sofern Sie entsprechende Rahmenvereinbarungen oder vertragliche Voraussetzungen zur Leistungserbringung mit den Pflegekassen vereinbart haben, sind die dort vereinbarten Qualifikationsniveaus maßgeblich.</w:t>
            </w:r>
          </w:p>
          <w:p w14:paraId="50FDB1F9" w14:textId="77777777" w:rsidR="007D2190" w:rsidRPr="007D2190" w:rsidRDefault="007D2190" w:rsidP="007D2190">
            <w:pPr>
              <w:spacing w:before="120" w:after="120"/>
              <w:rPr>
                <w:rFonts w:ascii="Arial" w:hAnsi="Arial" w:cs="Arial"/>
                <w:color w:val="000000" w:themeColor="text1"/>
                <w:sz w:val="24"/>
              </w:rPr>
            </w:pPr>
            <w:r w:rsidRPr="007D2190">
              <w:rPr>
                <w:rFonts w:ascii="Arial" w:hAnsi="Arial" w:cs="Arial"/>
                <w:color w:val="000000" w:themeColor="text1"/>
                <w:sz w:val="24"/>
              </w:rPr>
              <w:t>Dieser Qualitätsaspekt wird nur dann gesondert beurteilt, wenn die Verbesserung der Selbstpflegekompetenz explizit Bestandteil Ihres pflegerischen Auftrags ist und durch abgrenzbare Lerneinheiten erreicht werden soll. Auch hier ist die Anleitung und Beratung Ihres Pflegekunden während der Durchführung der Pflege regulärer Bestandteil einer ressourcenfördernden Pflege und daher nicht grundsätzlich unabhängig zu beurteilen.</w:t>
            </w:r>
          </w:p>
        </w:tc>
      </w:tr>
    </w:tbl>
    <w:p w14:paraId="01C6CA69" w14:textId="77777777" w:rsidR="007D2190" w:rsidRPr="007D2190" w:rsidRDefault="007D2190" w:rsidP="00E929DC">
      <w:pPr>
        <w:spacing w:before="120" w:after="120"/>
        <w:rPr>
          <w:rFonts w:ascii="Arial" w:eastAsiaTheme="minorHAnsi" w:hAnsi="Arial" w:cs="Arial"/>
          <w:color w:val="000000" w:themeColor="text1"/>
          <w:sz w:val="24"/>
        </w:rPr>
      </w:pPr>
    </w:p>
    <w:sectPr w:rsidR="007D2190" w:rsidRPr="007D2190" w:rsidSect="007D2190">
      <w:headerReference w:type="default" r:id="rId7"/>
      <w:pgSz w:w="11906" w:h="16838" w:code="9"/>
      <w:pgMar w:top="-1134" w:right="1418" w:bottom="24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8102" w14:textId="77777777" w:rsidR="005E6902" w:rsidRDefault="005E6902" w:rsidP="002A5D13">
      <w:pPr>
        <w:spacing w:after="0" w:line="240" w:lineRule="auto"/>
      </w:pPr>
      <w:r>
        <w:separator/>
      </w:r>
    </w:p>
  </w:endnote>
  <w:endnote w:type="continuationSeparator" w:id="0">
    <w:p w14:paraId="061D8662" w14:textId="77777777" w:rsidR="005E6902" w:rsidRDefault="005E6902"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3904" w14:textId="77777777" w:rsidR="005E6902" w:rsidRDefault="005E6902" w:rsidP="002A5D13">
      <w:pPr>
        <w:spacing w:after="0" w:line="240" w:lineRule="auto"/>
      </w:pPr>
      <w:r>
        <w:separator/>
      </w:r>
    </w:p>
  </w:footnote>
  <w:footnote w:type="continuationSeparator" w:id="0">
    <w:p w14:paraId="48F62A1D" w14:textId="77777777" w:rsidR="005E6902" w:rsidRDefault="005E6902"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1BCA431A" w:rsidR="007A7CA7" w:rsidRPr="00E74AD6" w:rsidRDefault="00D97E25" w:rsidP="00D97E25">
          <w:pPr>
            <w:pStyle w:val="Kopfzeile"/>
            <w:jc w:val="center"/>
            <w:rPr>
              <w:b/>
              <w:color w:val="DAEEF3"/>
            </w:rPr>
          </w:pPr>
          <w:r>
            <w:rPr>
              <w:b/>
              <w:color w:val="DAEEF3"/>
              <w:sz w:val="24"/>
            </w:rPr>
            <w:t>Ausgabe 0</w:t>
          </w:r>
          <w:r w:rsidR="007D2190">
            <w:rPr>
              <w:b/>
              <w:color w:val="DAEEF3"/>
              <w:sz w:val="24"/>
            </w:rPr>
            <w:t>6</w:t>
          </w:r>
          <w:r w:rsidR="00A42A0D">
            <w:rPr>
              <w:b/>
              <w:color w:val="DAEEF3"/>
              <w:sz w:val="24"/>
            </w:rPr>
            <w:t xml:space="preserve"> - 20</w:t>
          </w:r>
          <w:r w:rsidR="009000A8">
            <w:rPr>
              <w:b/>
              <w:color w:val="DAEEF3"/>
              <w:sz w:val="24"/>
            </w:rPr>
            <w:t>2</w:t>
          </w:r>
          <w:r w:rsidR="002F41D3">
            <w:rPr>
              <w:b/>
              <w:color w:val="DAEEF3"/>
              <w:sz w:val="24"/>
            </w:rPr>
            <w:t>6</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2D5DB1"/>
    <w:multiLevelType w:val="hybridMultilevel"/>
    <w:tmpl w:val="39549D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32F62"/>
    <w:multiLevelType w:val="hybridMultilevel"/>
    <w:tmpl w:val="0330A5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6A95FE1"/>
    <w:multiLevelType w:val="hybridMultilevel"/>
    <w:tmpl w:val="27321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25B256F"/>
    <w:multiLevelType w:val="hybridMultilevel"/>
    <w:tmpl w:val="BDC00F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E109B6"/>
    <w:multiLevelType w:val="hybridMultilevel"/>
    <w:tmpl w:val="987E9F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09F7AA2"/>
    <w:multiLevelType w:val="hybridMultilevel"/>
    <w:tmpl w:val="B1C454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50A04BD"/>
    <w:multiLevelType w:val="hybridMultilevel"/>
    <w:tmpl w:val="E40A05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A3421D7"/>
    <w:multiLevelType w:val="hybridMultilevel"/>
    <w:tmpl w:val="F79A5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32E03CF"/>
    <w:multiLevelType w:val="hybridMultilevel"/>
    <w:tmpl w:val="B344BB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7"/>
  </w:num>
  <w:num w:numId="2" w16cid:durableId="1523666159">
    <w:abstractNumId w:val="28"/>
  </w:num>
  <w:num w:numId="3" w16cid:durableId="1865754299">
    <w:abstractNumId w:val="38"/>
  </w:num>
  <w:num w:numId="4" w16cid:durableId="818304963">
    <w:abstractNumId w:val="18"/>
  </w:num>
  <w:num w:numId="5" w16cid:durableId="909541012">
    <w:abstractNumId w:val="9"/>
  </w:num>
  <w:num w:numId="6" w16cid:durableId="1327440480">
    <w:abstractNumId w:val="15"/>
  </w:num>
  <w:num w:numId="7" w16cid:durableId="1965695332">
    <w:abstractNumId w:val="20"/>
  </w:num>
  <w:num w:numId="8" w16cid:durableId="1631742190">
    <w:abstractNumId w:val="19"/>
  </w:num>
  <w:num w:numId="9" w16cid:durableId="507452013">
    <w:abstractNumId w:val="16"/>
  </w:num>
  <w:num w:numId="10" w16cid:durableId="1380588834">
    <w:abstractNumId w:val="5"/>
  </w:num>
  <w:num w:numId="11" w16cid:durableId="905796348">
    <w:abstractNumId w:val="30"/>
  </w:num>
  <w:num w:numId="12" w16cid:durableId="561402115">
    <w:abstractNumId w:val="22"/>
  </w:num>
  <w:num w:numId="13" w16cid:durableId="2137408609">
    <w:abstractNumId w:val="23"/>
  </w:num>
  <w:num w:numId="14" w16cid:durableId="1825924056">
    <w:abstractNumId w:val="21"/>
  </w:num>
  <w:num w:numId="15" w16cid:durableId="1575043430">
    <w:abstractNumId w:val="24"/>
  </w:num>
  <w:num w:numId="16" w16cid:durableId="260797494">
    <w:abstractNumId w:val="25"/>
  </w:num>
  <w:num w:numId="17" w16cid:durableId="1416823773">
    <w:abstractNumId w:val="26"/>
  </w:num>
  <w:num w:numId="18" w16cid:durableId="870455365">
    <w:abstractNumId w:val="4"/>
  </w:num>
  <w:num w:numId="19" w16cid:durableId="352223203">
    <w:abstractNumId w:val="3"/>
  </w:num>
  <w:num w:numId="20" w16cid:durableId="859202725">
    <w:abstractNumId w:val="2"/>
  </w:num>
  <w:num w:numId="21" w16cid:durableId="767504800">
    <w:abstractNumId w:val="1"/>
  </w:num>
  <w:num w:numId="22" w16cid:durableId="1270619908">
    <w:abstractNumId w:val="0"/>
  </w:num>
  <w:num w:numId="23" w16cid:durableId="1497067334">
    <w:abstractNumId w:val="11"/>
  </w:num>
  <w:num w:numId="24" w16cid:durableId="756941337">
    <w:abstractNumId w:val="6"/>
  </w:num>
  <w:num w:numId="25" w16cid:durableId="1145244037">
    <w:abstractNumId w:val="8"/>
  </w:num>
  <w:num w:numId="26" w16cid:durableId="1266232381">
    <w:abstractNumId w:val="34"/>
  </w:num>
  <w:num w:numId="27" w16cid:durableId="379787300">
    <w:abstractNumId w:val="37"/>
  </w:num>
  <w:num w:numId="28" w16cid:durableId="424151893">
    <w:abstractNumId w:val="39"/>
  </w:num>
  <w:num w:numId="29" w16cid:durableId="107509980">
    <w:abstractNumId w:val="36"/>
  </w:num>
  <w:num w:numId="30" w16cid:durableId="223221979">
    <w:abstractNumId w:val="13"/>
  </w:num>
  <w:num w:numId="31" w16cid:durableId="817040694">
    <w:abstractNumId w:val="14"/>
  </w:num>
  <w:num w:numId="32" w16cid:durableId="1847791047">
    <w:abstractNumId w:val="31"/>
  </w:num>
  <w:num w:numId="33" w16cid:durableId="1662932123">
    <w:abstractNumId w:val="12"/>
  </w:num>
  <w:num w:numId="34" w16cid:durableId="230696857">
    <w:abstractNumId w:val="27"/>
  </w:num>
  <w:num w:numId="35" w16cid:durableId="807476496">
    <w:abstractNumId w:val="7"/>
  </w:num>
  <w:num w:numId="36" w16cid:durableId="520238586">
    <w:abstractNumId w:val="33"/>
  </w:num>
  <w:num w:numId="37" w16cid:durableId="1535001588">
    <w:abstractNumId w:val="35"/>
  </w:num>
  <w:num w:numId="38" w16cid:durableId="771390216">
    <w:abstractNumId w:val="32"/>
  </w:num>
  <w:num w:numId="39" w16cid:durableId="191461882">
    <w:abstractNumId w:val="29"/>
  </w:num>
  <w:num w:numId="40" w16cid:durableId="693966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25F6"/>
    <w:rsid w:val="000A7188"/>
    <w:rsid w:val="000B50CC"/>
    <w:rsid w:val="000C66D4"/>
    <w:rsid w:val="000C6A2D"/>
    <w:rsid w:val="000F12B5"/>
    <w:rsid w:val="00153EE5"/>
    <w:rsid w:val="0015409B"/>
    <w:rsid w:val="001B429B"/>
    <w:rsid w:val="001E33AA"/>
    <w:rsid w:val="00205D0C"/>
    <w:rsid w:val="00217E03"/>
    <w:rsid w:val="00243397"/>
    <w:rsid w:val="0027096C"/>
    <w:rsid w:val="002766CF"/>
    <w:rsid w:val="0028515F"/>
    <w:rsid w:val="002A5D13"/>
    <w:rsid w:val="002B029B"/>
    <w:rsid w:val="002B4419"/>
    <w:rsid w:val="002D45E4"/>
    <w:rsid w:val="002E4378"/>
    <w:rsid w:val="002F41D3"/>
    <w:rsid w:val="003676E3"/>
    <w:rsid w:val="00380EF0"/>
    <w:rsid w:val="003E3400"/>
    <w:rsid w:val="00433F51"/>
    <w:rsid w:val="004639C0"/>
    <w:rsid w:val="004955F6"/>
    <w:rsid w:val="004A47F9"/>
    <w:rsid w:val="004C2396"/>
    <w:rsid w:val="00501C72"/>
    <w:rsid w:val="0050689E"/>
    <w:rsid w:val="00536E92"/>
    <w:rsid w:val="00551B88"/>
    <w:rsid w:val="00564D3F"/>
    <w:rsid w:val="00581B4B"/>
    <w:rsid w:val="00587D31"/>
    <w:rsid w:val="005D14F4"/>
    <w:rsid w:val="005E6902"/>
    <w:rsid w:val="005E6B95"/>
    <w:rsid w:val="00614D0A"/>
    <w:rsid w:val="00644CE3"/>
    <w:rsid w:val="00653E72"/>
    <w:rsid w:val="00661981"/>
    <w:rsid w:val="006910F2"/>
    <w:rsid w:val="006A5CFE"/>
    <w:rsid w:val="006E18EF"/>
    <w:rsid w:val="00767817"/>
    <w:rsid w:val="007723E6"/>
    <w:rsid w:val="007A7CA7"/>
    <w:rsid w:val="007B0290"/>
    <w:rsid w:val="007B1333"/>
    <w:rsid w:val="007C0AE5"/>
    <w:rsid w:val="007D2190"/>
    <w:rsid w:val="007D2F6C"/>
    <w:rsid w:val="007D34A4"/>
    <w:rsid w:val="007E1A2E"/>
    <w:rsid w:val="00841FA8"/>
    <w:rsid w:val="008522CE"/>
    <w:rsid w:val="00852BFB"/>
    <w:rsid w:val="008633AC"/>
    <w:rsid w:val="00887070"/>
    <w:rsid w:val="00890332"/>
    <w:rsid w:val="008B1F83"/>
    <w:rsid w:val="008C0D29"/>
    <w:rsid w:val="008D4072"/>
    <w:rsid w:val="008E62B1"/>
    <w:rsid w:val="009000A8"/>
    <w:rsid w:val="009018DB"/>
    <w:rsid w:val="009352A5"/>
    <w:rsid w:val="00937B0B"/>
    <w:rsid w:val="009433D9"/>
    <w:rsid w:val="00983536"/>
    <w:rsid w:val="00985C2F"/>
    <w:rsid w:val="009A6365"/>
    <w:rsid w:val="009B721F"/>
    <w:rsid w:val="009E6591"/>
    <w:rsid w:val="009F64ED"/>
    <w:rsid w:val="00A06C64"/>
    <w:rsid w:val="00A42A0D"/>
    <w:rsid w:val="00AD39D1"/>
    <w:rsid w:val="00AF17D9"/>
    <w:rsid w:val="00B01FFE"/>
    <w:rsid w:val="00B16885"/>
    <w:rsid w:val="00B67280"/>
    <w:rsid w:val="00B707AF"/>
    <w:rsid w:val="00B81586"/>
    <w:rsid w:val="00B87D52"/>
    <w:rsid w:val="00BD71E9"/>
    <w:rsid w:val="00C21184"/>
    <w:rsid w:val="00C310AF"/>
    <w:rsid w:val="00C42D52"/>
    <w:rsid w:val="00C73E1A"/>
    <w:rsid w:val="00C91E68"/>
    <w:rsid w:val="00C9289F"/>
    <w:rsid w:val="00CC38C8"/>
    <w:rsid w:val="00CD4F0B"/>
    <w:rsid w:val="00D56265"/>
    <w:rsid w:val="00D6029A"/>
    <w:rsid w:val="00D96EA7"/>
    <w:rsid w:val="00D97E25"/>
    <w:rsid w:val="00DA1ADE"/>
    <w:rsid w:val="00DB32C7"/>
    <w:rsid w:val="00DD233A"/>
    <w:rsid w:val="00DF3F2F"/>
    <w:rsid w:val="00E028D9"/>
    <w:rsid w:val="00E2265E"/>
    <w:rsid w:val="00E74AD6"/>
    <w:rsid w:val="00E929DC"/>
    <w:rsid w:val="00ED7053"/>
    <w:rsid w:val="00F20663"/>
    <w:rsid w:val="00F57C1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 w:type="table" w:styleId="Tabellenraster">
    <w:name w:val="Table Grid"/>
    <w:basedOn w:val="NormaleTabelle"/>
    <w:uiPriority w:val="39"/>
    <w:rsid w:val="00E929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929DC"/>
    <w:pPr>
      <w:overflowPunct w:val="0"/>
      <w:autoSpaceDE w:val="0"/>
      <w:autoSpaceDN w:val="0"/>
      <w:adjustRightInd w:val="0"/>
      <w:textAlignment w:val="baseline"/>
    </w:pPr>
    <w:rPr>
      <w:rFonts w:ascii="Times New Roman" w:eastAsia="Times New Roman" w:hAnsi="Times New Roman"/>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3036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2026-02-25T17:20:00Z</dcterms:created>
  <dcterms:modified xsi:type="dcterms:W3CDTF">2026-02-25T17:20:00Z</dcterms:modified>
</cp:coreProperties>
</file>