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59D7" w14:textId="330AED7D" w:rsidR="00C67BEA" w:rsidRDefault="007A7CA7" w:rsidP="00C67BEA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  <w:r w:rsidR="005E1850">
        <w:tab/>
      </w:r>
    </w:p>
    <w:p w14:paraId="6EA7A480" w14:textId="786939BB" w:rsidR="00C67BEA" w:rsidRPr="00072600" w:rsidRDefault="00C67BEA" w:rsidP="00C67BE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67BEA" w:rsidRPr="00C67BEA" w14:paraId="1FF7FB1F" w14:textId="77777777" w:rsidTr="00C67BEA">
        <w:trPr>
          <w:jc w:val="center"/>
        </w:trPr>
        <w:tc>
          <w:tcPr>
            <w:tcW w:w="10485" w:type="dxa"/>
            <w:shd w:val="clear" w:color="auto" w:fill="2E75CC"/>
          </w:tcPr>
          <w:p w14:paraId="5E5FE599" w14:textId="77D8BD02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67BEA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Inhaltsverzeichnis für das Delegationskonzept</w:t>
            </w:r>
          </w:p>
        </w:tc>
      </w:tr>
      <w:tr w:rsidR="00C67BEA" w:rsidRPr="00C67BEA" w14:paraId="0345D440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4454C63C" w14:textId="214018F5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 Zielsetzung und Geltungsbereich</w:t>
            </w:r>
          </w:p>
        </w:tc>
      </w:tr>
      <w:tr w:rsidR="00C67BEA" w:rsidRPr="00C67BEA" w14:paraId="1A546262" w14:textId="77777777" w:rsidTr="00C67BEA">
        <w:trPr>
          <w:jc w:val="center"/>
        </w:trPr>
        <w:tc>
          <w:tcPr>
            <w:tcW w:w="10485" w:type="dxa"/>
          </w:tcPr>
          <w:p w14:paraId="3D748FBE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Zweck des Konzepts</w:t>
            </w:r>
          </w:p>
          <w:p w14:paraId="3BBB450A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Geltung für alle Qualifikationsniveaus</w:t>
            </w:r>
          </w:p>
        </w:tc>
      </w:tr>
      <w:tr w:rsidR="00C67BEA" w:rsidRPr="00C67BEA" w14:paraId="24D4810E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3C5BB250" w14:textId="7BC56333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Rechtliche Grundlagen</w:t>
            </w:r>
          </w:p>
        </w:tc>
      </w:tr>
      <w:tr w:rsidR="00C67BEA" w:rsidRPr="00C67BEA" w14:paraId="47CD2921" w14:textId="77777777" w:rsidTr="00C67BEA">
        <w:trPr>
          <w:jc w:val="center"/>
        </w:trPr>
        <w:tc>
          <w:tcPr>
            <w:tcW w:w="10485" w:type="dxa"/>
          </w:tcPr>
          <w:p w14:paraId="1C49CEB0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Vorbehaltsaufgaben nach dem </w:t>
            </w:r>
            <w:proofErr w:type="spellStart"/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Pflegeberufegesetz</w:t>
            </w:r>
            <w:proofErr w:type="spellEnd"/>
          </w:p>
          <w:p w14:paraId="568B0210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Haftungsrechtliche Aspekte: Anordnungs-, Durchführungs- und Kontrollverantwortung</w:t>
            </w:r>
          </w:p>
          <w:p w14:paraId="2DDB0EA2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Abgrenzung zur ärztlichen Delegation (Behandlungspflege)</w:t>
            </w:r>
          </w:p>
        </w:tc>
      </w:tr>
      <w:tr w:rsidR="00C67BEA" w:rsidRPr="00C67BEA" w14:paraId="5ADAA7BC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1B45ABC0" w14:textId="5ED1B372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 Rollendefinition und Befugnisse nach QN (betrifft stationäre Einrichtungen)</w:t>
            </w:r>
          </w:p>
        </w:tc>
      </w:tr>
      <w:tr w:rsidR="00C67BEA" w:rsidRPr="00C67BEA" w14:paraId="1AD7E05C" w14:textId="77777777" w:rsidTr="00C67BEA">
        <w:trPr>
          <w:jc w:val="center"/>
        </w:trPr>
        <w:tc>
          <w:tcPr>
            <w:tcW w:w="10485" w:type="dxa"/>
          </w:tcPr>
          <w:p w14:paraId="029B4CA4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Erläuterung der QN</w:t>
            </w:r>
          </w:p>
        </w:tc>
      </w:tr>
      <w:tr w:rsidR="00C67BEA" w:rsidRPr="00C67BEA" w14:paraId="21557860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0CA49785" w14:textId="13593499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 Kriterien für eine sichere Delegation</w:t>
            </w:r>
          </w:p>
        </w:tc>
      </w:tr>
      <w:tr w:rsidR="00C67BEA" w:rsidRPr="00C67BEA" w14:paraId="69A11674" w14:textId="77777777" w:rsidTr="00C67BEA">
        <w:trPr>
          <w:jc w:val="center"/>
        </w:trPr>
        <w:tc>
          <w:tcPr>
            <w:tcW w:w="10485" w:type="dxa"/>
          </w:tcPr>
          <w:p w14:paraId="77825BCD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Prüfschema für Fachkräfte: Ist die Situation stabil? Reicht die Kompetenz des Empfängers aus?</w:t>
            </w:r>
          </w:p>
          <w:p w14:paraId="5F08CBDF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Einweisungs- und Anleitungspflicht: Dokumentation von Schulungen, Ersteinweisungen und Visiten</w:t>
            </w:r>
          </w:p>
          <w:p w14:paraId="6F820259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proofErr w:type="spellStart"/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Remonstrationspflicht</w:t>
            </w:r>
            <w:proofErr w:type="spellEnd"/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: Wann und wie muss eine Assistenzkraft eine Aufgabe ablehnen?</w:t>
            </w:r>
          </w:p>
        </w:tc>
      </w:tr>
      <w:tr w:rsidR="00C67BEA" w:rsidRPr="00C67BEA" w14:paraId="42C7D7B0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683134EA" w14:textId="72CA2F3E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 Der Delegationskatalog</w:t>
            </w:r>
          </w:p>
        </w:tc>
      </w:tr>
      <w:tr w:rsidR="00C67BEA" w:rsidRPr="00C67BEA" w14:paraId="5A8B342F" w14:textId="77777777" w:rsidTr="00C67BEA">
        <w:trPr>
          <w:jc w:val="center"/>
        </w:trPr>
        <w:tc>
          <w:tcPr>
            <w:tcW w:w="10485" w:type="dxa"/>
          </w:tcPr>
          <w:p w14:paraId="39771A8B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Auflistung delegierbarer Aufgaben in der Grundpflege</w:t>
            </w:r>
          </w:p>
          <w:p w14:paraId="29422A14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Auflistung delegierbarer Aufgaben in der Behandlungspflege</w:t>
            </w:r>
          </w:p>
          <w:p w14:paraId="6A550419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Festlegung von Aufgaben mit absolutem Delegationsverbot</w:t>
            </w:r>
          </w:p>
        </w:tc>
      </w:tr>
      <w:tr w:rsidR="00C67BEA" w:rsidRPr="00C67BEA" w14:paraId="0FE2DF2E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33D8668C" w14:textId="682143DA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 Kommunikations- und Berichtsstrukturen</w:t>
            </w:r>
          </w:p>
        </w:tc>
      </w:tr>
      <w:tr w:rsidR="00C67BEA" w:rsidRPr="00C67BEA" w14:paraId="334D2E77" w14:textId="77777777" w:rsidTr="00C67BEA">
        <w:trPr>
          <w:jc w:val="center"/>
        </w:trPr>
        <w:tc>
          <w:tcPr>
            <w:tcW w:w="10485" w:type="dxa"/>
          </w:tcPr>
          <w:p w14:paraId="0DC0ACE2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Informationsfluss bei Zustandsänderungen</w:t>
            </w:r>
          </w:p>
          <w:p w14:paraId="33B50676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Struktur der Übergabegespräche </w:t>
            </w:r>
          </w:p>
          <w:p w14:paraId="42C5A4B9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Schnittstellenmanagement zu Therapeuten und Ärzten</w:t>
            </w:r>
          </w:p>
        </w:tc>
      </w:tr>
      <w:tr w:rsidR="00C67BEA" w:rsidRPr="00C67BEA" w14:paraId="77B34B40" w14:textId="77777777" w:rsidTr="00C67BEA">
        <w:trPr>
          <w:jc w:val="center"/>
        </w:trPr>
        <w:tc>
          <w:tcPr>
            <w:tcW w:w="10485" w:type="dxa"/>
            <w:shd w:val="clear" w:color="auto" w:fill="B0C0DA"/>
          </w:tcPr>
          <w:p w14:paraId="77FE73F4" w14:textId="08F3922F" w:rsidR="00C67BEA" w:rsidRPr="00C67BEA" w:rsidRDefault="00C67BEA" w:rsidP="00C67B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67BE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 Überwachung und Evaluation</w:t>
            </w:r>
          </w:p>
        </w:tc>
      </w:tr>
      <w:tr w:rsidR="00C67BEA" w:rsidRPr="00C67BEA" w14:paraId="24BA4D07" w14:textId="77777777" w:rsidTr="00C67BEA">
        <w:trPr>
          <w:jc w:val="center"/>
        </w:trPr>
        <w:tc>
          <w:tcPr>
            <w:tcW w:w="10485" w:type="dxa"/>
          </w:tcPr>
          <w:p w14:paraId="166B0479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Methoden der Kontrollverantwortungen</w:t>
            </w:r>
          </w:p>
          <w:p w14:paraId="229762E9" w14:textId="77777777" w:rsidR="00C67BEA" w:rsidRPr="00C67BEA" w:rsidRDefault="00C67BEA" w:rsidP="00C67BEA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67BEA">
              <w:rPr>
                <w:rFonts w:ascii="Arial" w:eastAsiaTheme="minorHAnsi" w:hAnsi="Arial" w:cs="Arial"/>
                <w:color w:val="000000" w:themeColor="text1"/>
                <w:sz w:val="24"/>
              </w:rPr>
              <w:t>Turnusmäßige Überprüfung des Konzepts auf Basis von Feedbackgesprächen</w:t>
            </w:r>
          </w:p>
        </w:tc>
      </w:tr>
    </w:tbl>
    <w:p w14:paraId="73C52EF7" w14:textId="77777777" w:rsidR="00C67BEA" w:rsidRPr="00F0322F" w:rsidRDefault="00C67BEA" w:rsidP="0066792A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C67BEA" w:rsidRPr="00F0322F" w:rsidSect="00F0322F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14E7" w14:textId="77777777" w:rsidR="004C46BC" w:rsidRDefault="004C46BC" w:rsidP="002A5D13">
      <w:pPr>
        <w:spacing w:after="0" w:line="240" w:lineRule="auto"/>
      </w:pPr>
      <w:r>
        <w:separator/>
      </w:r>
    </w:p>
  </w:endnote>
  <w:endnote w:type="continuationSeparator" w:id="0">
    <w:p w14:paraId="383CB957" w14:textId="77777777" w:rsidR="004C46BC" w:rsidRDefault="004C46B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5B4A" w14:textId="77777777" w:rsidR="004C46BC" w:rsidRDefault="004C46BC" w:rsidP="002A5D13">
      <w:pPr>
        <w:spacing w:after="0" w:line="240" w:lineRule="auto"/>
      </w:pPr>
      <w:r>
        <w:separator/>
      </w:r>
    </w:p>
  </w:footnote>
  <w:footnote w:type="continuationSeparator" w:id="0">
    <w:p w14:paraId="6B527669" w14:textId="77777777" w:rsidR="004C46BC" w:rsidRDefault="004C46B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46C105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66792A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585796415" name="Grafik 1585796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E1909"/>
    <w:multiLevelType w:val="hybridMultilevel"/>
    <w:tmpl w:val="6C2C6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3433C"/>
    <w:multiLevelType w:val="hybridMultilevel"/>
    <w:tmpl w:val="4318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176"/>
    <w:multiLevelType w:val="hybridMultilevel"/>
    <w:tmpl w:val="069AB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32F4A"/>
    <w:multiLevelType w:val="hybridMultilevel"/>
    <w:tmpl w:val="CC8ED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76BA3"/>
    <w:multiLevelType w:val="hybridMultilevel"/>
    <w:tmpl w:val="18B8D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1FED"/>
    <w:multiLevelType w:val="hybridMultilevel"/>
    <w:tmpl w:val="11845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624A3"/>
    <w:multiLevelType w:val="hybridMultilevel"/>
    <w:tmpl w:val="94E49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6E16"/>
    <w:multiLevelType w:val="hybridMultilevel"/>
    <w:tmpl w:val="4384B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3680E"/>
    <w:multiLevelType w:val="hybridMultilevel"/>
    <w:tmpl w:val="54080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7"/>
  </w:num>
  <w:num w:numId="2" w16cid:durableId="1456217558">
    <w:abstractNumId w:val="27"/>
  </w:num>
  <w:num w:numId="3" w16cid:durableId="1803574363">
    <w:abstractNumId w:val="29"/>
  </w:num>
  <w:num w:numId="4" w16cid:durableId="1661150236">
    <w:abstractNumId w:val="18"/>
  </w:num>
  <w:num w:numId="5" w16cid:durableId="840630696">
    <w:abstractNumId w:val="7"/>
  </w:num>
  <w:num w:numId="6" w16cid:durableId="1786457857">
    <w:abstractNumId w:val="14"/>
  </w:num>
  <w:num w:numId="7" w16cid:durableId="273442169">
    <w:abstractNumId w:val="20"/>
  </w:num>
  <w:num w:numId="8" w16cid:durableId="1239441314">
    <w:abstractNumId w:val="19"/>
  </w:num>
  <w:num w:numId="9" w16cid:durableId="1978216536">
    <w:abstractNumId w:val="15"/>
  </w:num>
  <w:num w:numId="10" w16cid:durableId="646931857">
    <w:abstractNumId w:val="5"/>
  </w:num>
  <w:num w:numId="11" w16cid:durableId="1137146208">
    <w:abstractNumId w:val="28"/>
  </w:num>
  <w:num w:numId="12" w16cid:durableId="1204052296">
    <w:abstractNumId w:val="22"/>
  </w:num>
  <w:num w:numId="13" w16cid:durableId="1106383001">
    <w:abstractNumId w:val="23"/>
  </w:num>
  <w:num w:numId="14" w16cid:durableId="793400410">
    <w:abstractNumId w:val="21"/>
  </w:num>
  <w:num w:numId="15" w16cid:durableId="170730696">
    <w:abstractNumId w:val="24"/>
  </w:num>
  <w:num w:numId="16" w16cid:durableId="1470124009">
    <w:abstractNumId w:val="25"/>
  </w:num>
  <w:num w:numId="17" w16cid:durableId="1016734673">
    <w:abstractNumId w:val="26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11565787">
    <w:abstractNumId w:val="13"/>
  </w:num>
  <w:num w:numId="24" w16cid:durableId="1718503265">
    <w:abstractNumId w:val="9"/>
  </w:num>
  <w:num w:numId="25" w16cid:durableId="1566640805">
    <w:abstractNumId w:val="30"/>
  </w:num>
  <w:num w:numId="26" w16cid:durableId="1682776230">
    <w:abstractNumId w:val="6"/>
  </w:num>
  <w:num w:numId="27" w16cid:durableId="171727418">
    <w:abstractNumId w:val="10"/>
  </w:num>
  <w:num w:numId="28" w16cid:durableId="59721267">
    <w:abstractNumId w:val="16"/>
  </w:num>
  <w:num w:numId="29" w16cid:durableId="1241137816">
    <w:abstractNumId w:val="8"/>
  </w:num>
  <w:num w:numId="30" w16cid:durableId="1044064140">
    <w:abstractNumId w:val="11"/>
  </w:num>
  <w:num w:numId="31" w16cid:durableId="1691376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67E2B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C46BC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6792A"/>
    <w:rsid w:val="00672352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67BEA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8594F"/>
    <w:rsid w:val="00ED3984"/>
    <w:rsid w:val="00EF0BF1"/>
    <w:rsid w:val="00F0322F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67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2026-02-08T22:59:00Z</dcterms:created>
  <dcterms:modified xsi:type="dcterms:W3CDTF">2026-02-08T22:59:00Z</dcterms:modified>
</cp:coreProperties>
</file>