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6BF6" w14:textId="0474C37B" w:rsidR="00E8594F" w:rsidRPr="00F0322F" w:rsidRDefault="007A7CA7" w:rsidP="00F0322F">
      <w:pPr>
        <w:tabs>
          <w:tab w:val="left" w:pos="5280"/>
        </w:tabs>
        <w:rPr>
          <w:b/>
          <w:noProof/>
          <w:lang w:eastAsia="de-DE"/>
        </w:rPr>
      </w:pPr>
      <w:r>
        <w:rPr>
          <w:b/>
          <w:noProof/>
          <w:lang w:eastAsia="de-DE"/>
        </w:rPr>
        <w:tab/>
      </w:r>
      <w:r w:rsidR="005E1850">
        <w:tab/>
      </w:r>
      <w:r>
        <w:tab/>
      </w:r>
    </w:p>
    <w:p w14:paraId="57C30A4A" w14:textId="6B86338C" w:rsidR="00F0322F" w:rsidRPr="007D3C59" w:rsidRDefault="00F0322F" w:rsidP="00F0322F">
      <w:pPr>
        <w:spacing w:after="0"/>
        <w:rPr>
          <w:rFonts w:ascii="Arial" w:hAnsi="Arial" w:cs="Arial"/>
          <w:b/>
          <w:bCs/>
          <w:sz w:val="24"/>
          <w:szCs w:val="24"/>
        </w:rPr>
      </w:pPr>
    </w:p>
    <w:tbl>
      <w:tblPr>
        <w:tblStyle w:val="Tabellenraster"/>
        <w:tblW w:w="10627" w:type="dxa"/>
        <w:jc w:val="center"/>
        <w:tblLook w:val="04A0" w:firstRow="1" w:lastRow="0" w:firstColumn="1" w:lastColumn="0" w:noHBand="0" w:noVBand="1"/>
      </w:tblPr>
      <w:tblGrid>
        <w:gridCol w:w="2685"/>
        <w:gridCol w:w="7942"/>
      </w:tblGrid>
      <w:tr w:rsidR="00F0322F" w:rsidRPr="00F0322F" w14:paraId="4652EE51" w14:textId="77777777" w:rsidTr="00F0322F">
        <w:trPr>
          <w:jc w:val="center"/>
        </w:trPr>
        <w:tc>
          <w:tcPr>
            <w:tcW w:w="10627" w:type="dxa"/>
            <w:gridSpan w:val="2"/>
            <w:shd w:val="clear" w:color="auto" w:fill="2E75CC"/>
          </w:tcPr>
          <w:p w14:paraId="68DECC5D" w14:textId="16746884" w:rsidR="00F0322F" w:rsidRPr="00F0322F" w:rsidRDefault="00F0322F" w:rsidP="00F0322F">
            <w:pPr>
              <w:spacing w:before="120" w:after="120"/>
              <w:rPr>
                <w:rFonts w:ascii="Arial" w:hAnsi="Arial" w:cs="Arial"/>
                <w:b/>
                <w:color w:val="FFFFFF"/>
                <w:sz w:val="28"/>
                <w:szCs w:val="28"/>
              </w:rPr>
            </w:pPr>
            <w:r w:rsidRPr="00F0322F">
              <w:rPr>
                <w:rFonts w:ascii="Arial" w:hAnsi="Arial" w:cs="Arial"/>
                <w:b/>
                <w:color w:val="FFFFFF"/>
                <w:sz w:val="28"/>
                <w:szCs w:val="28"/>
              </w:rPr>
              <w:t>Übersicht: Die Expertenrollen im Detail</w:t>
            </w:r>
          </w:p>
        </w:tc>
      </w:tr>
      <w:tr w:rsidR="00F0322F" w:rsidRPr="00F0322F" w14:paraId="67DE0996" w14:textId="77777777" w:rsidTr="00F0322F">
        <w:trPr>
          <w:jc w:val="center"/>
        </w:trPr>
        <w:tc>
          <w:tcPr>
            <w:tcW w:w="2685" w:type="dxa"/>
            <w:shd w:val="clear" w:color="auto" w:fill="B0C0DA"/>
          </w:tcPr>
          <w:p w14:paraId="706E8B9A" w14:textId="77777777" w:rsidR="00F0322F" w:rsidRPr="00F0322F" w:rsidRDefault="00F0322F" w:rsidP="00F0322F">
            <w:pPr>
              <w:spacing w:before="120" w:after="120"/>
              <w:rPr>
                <w:rFonts w:ascii="Arial" w:hAnsi="Arial" w:cs="Arial"/>
                <w:b/>
                <w:color w:val="000000" w:themeColor="text1"/>
                <w:sz w:val="24"/>
                <w:szCs w:val="24"/>
              </w:rPr>
            </w:pPr>
            <w:r w:rsidRPr="00F0322F">
              <w:rPr>
                <w:rFonts w:ascii="Arial" w:hAnsi="Arial" w:cs="Arial"/>
                <w:b/>
                <w:color w:val="000000" w:themeColor="text1"/>
                <w:sz w:val="24"/>
                <w:szCs w:val="24"/>
              </w:rPr>
              <w:t>Expertenwissen</w:t>
            </w:r>
          </w:p>
        </w:tc>
        <w:tc>
          <w:tcPr>
            <w:tcW w:w="7942" w:type="dxa"/>
            <w:shd w:val="clear" w:color="auto" w:fill="B0C0DA"/>
          </w:tcPr>
          <w:p w14:paraId="5BEE812A" w14:textId="77777777" w:rsidR="00F0322F" w:rsidRPr="00F0322F" w:rsidRDefault="00F0322F" w:rsidP="00F0322F">
            <w:pPr>
              <w:spacing w:before="120" w:after="120"/>
              <w:rPr>
                <w:rFonts w:ascii="Arial" w:hAnsi="Arial" w:cs="Arial"/>
                <w:b/>
                <w:color w:val="000000" w:themeColor="text1"/>
                <w:sz w:val="24"/>
                <w:szCs w:val="24"/>
              </w:rPr>
            </w:pPr>
            <w:r w:rsidRPr="00F0322F">
              <w:rPr>
                <w:rFonts w:ascii="Arial" w:hAnsi="Arial" w:cs="Arial"/>
                <w:b/>
                <w:color w:val="000000" w:themeColor="text1"/>
                <w:sz w:val="24"/>
                <w:szCs w:val="24"/>
              </w:rPr>
              <w:t>Bedeutung</w:t>
            </w:r>
          </w:p>
        </w:tc>
      </w:tr>
      <w:tr w:rsidR="00F0322F" w:rsidRPr="00F0322F" w14:paraId="7F91225D" w14:textId="77777777" w:rsidTr="00F0322F">
        <w:trPr>
          <w:jc w:val="center"/>
        </w:trPr>
        <w:tc>
          <w:tcPr>
            <w:tcW w:w="2685" w:type="dxa"/>
          </w:tcPr>
          <w:p w14:paraId="4C22BDD2"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Schmerzmanagement und Palliative Care</w:t>
            </w:r>
          </w:p>
        </w:tc>
        <w:tc>
          <w:tcPr>
            <w:tcW w:w="7942" w:type="dxa"/>
          </w:tcPr>
          <w:p w14:paraId="6BD90491"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 xml:space="preserve">Diese Person steuert die pflegerische Versorgung in hochsensiblen Phasen. Sie führt </w:t>
            </w:r>
            <w:proofErr w:type="spellStart"/>
            <w:r w:rsidRPr="00F0322F">
              <w:rPr>
                <w:rFonts w:ascii="Arial" w:hAnsi="Arial" w:cs="Arial"/>
                <w:bCs/>
                <w:color w:val="000000" w:themeColor="text1"/>
                <w:sz w:val="24"/>
                <w:szCs w:val="24"/>
              </w:rPr>
              <w:t>Schmerzassessements</w:t>
            </w:r>
            <w:proofErr w:type="spellEnd"/>
            <w:r w:rsidRPr="00F0322F">
              <w:rPr>
                <w:rFonts w:ascii="Arial" w:hAnsi="Arial" w:cs="Arial"/>
                <w:bCs/>
                <w:color w:val="000000" w:themeColor="text1"/>
                <w:sz w:val="24"/>
                <w:szCs w:val="24"/>
              </w:rPr>
              <w:t xml:space="preserve"> durch, berät das Team zur Bedarfsmedikation und ist primärer Ansprechpartner für Palliativmediziner und Hospizdienste. Sie achtet auf die Umsetzung von Patientenverfügungen und moderiert ethische Fallbesprechungen.</w:t>
            </w:r>
          </w:p>
        </w:tc>
      </w:tr>
      <w:tr w:rsidR="00F0322F" w:rsidRPr="00F0322F" w14:paraId="49507C14" w14:textId="77777777" w:rsidTr="00F0322F">
        <w:trPr>
          <w:jc w:val="center"/>
        </w:trPr>
        <w:tc>
          <w:tcPr>
            <w:tcW w:w="2685" w:type="dxa"/>
          </w:tcPr>
          <w:p w14:paraId="7DE03501"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Demenz-Experten</w:t>
            </w:r>
          </w:p>
        </w:tc>
        <w:tc>
          <w:tcPr>
            <w:tcW w:w="7942" w:type="dxa"/>
          </w:tcPr>
          <w:p w14:paraId="1D5E64DF"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Mitarbeitende mit dieser Spezialisierung übernehmen die Fallsteuerung bei Klienten mit herausforderndem Verhalten. Sie schulen Kollegen in Kommunikationstechniken und gestalten milieutherapeutische Konzepte. Zudem führen sie Fallbesprechungen durch und überwachen die Umsetzung der daraus resultierenden Maßnahmen.</w:t>
            </w:r>
          </w:p>
        </w:tc>
      </w:tr>
      <w:tr w:rsidR="00F0322F" w:rsidRPr="00F0322F" w14:paraId="7D6039FE" w14:textId="77777777" w:rsidTr="00F0322F">
        <w:trPr>
          <w:jc w:val="center"/>
        </w:trPr>
        <w:tc>
          <w:tcPr>
            <w:tcW w:w="2685" w:type="dxa"/>
          </w:tcPr>
          <w:p w14:paraId="2FB4E688"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Beauftragte für digitale Prozesssteuerung</w:t>
            </w:r>
          </w:p>
        </w:tc>
        <w:tc>
          <w:tcPr>
            <w:tcW w:w="7942" w:type="dxa"/>
          </w:tcPr>
          <w:p w14:paraId="49FCAC06"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Da die Pflegedokumentationssoftware das zentrale Steuerungsinstrument ist, benötigt jedes Team Experten, die nicht nur die Technik beherrschen, sondern Datenanalysen zur Qualitätssicherung nutzen können (z. B. Auswertung von Sturzereignissen oder Gewichtsverläufen).</w:t>
            </w:r>
          </w:p>
        </w:tc>
      </w:tr>
      <w:tr w:rsidR="00F0322F" w:rsidRPr="00F0322F" w14:paraId="5307BA2B" w14:textId="77777777" w:rsidTr="00F0322F">
        <w:trPr>
          <w:jc w:val="center"/>
        </w:trPr>
        <w:tc>
          <w:tcPr>
            <w:tcW w:w="2685" w:type="dxa"/>
          </w:tcPr>
          <w:p w14:paraId="6F9DC0FA" w14:textId="5EDBE239"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Ausfall- und Ressourcen</w:t>
            </w:r>
            <w:r>
              <w:rPr>
                <w:rFonts w:ascii="Arial" w:hAnsi="Arial" w:cs="Arial"/>
                <w:bCs/>
                <w:color w:val="000000" w:themeColor="text1"/>
                <w:sz w:val="24"/>
                <w:szCs w:val="24"/>
              </w:rPr>
              <w:t>-</w:t>
            </w:r>
            <w:r w:rsidRPr="00F0322F">
              <w:rPr>
                <w:rFonts w:ascii="Arial" w:hAnsi="Arial" w:cs="Arial"/>
                <w:bCs/>
                <w:color w:val="000000" w:themeColor="text1"/>
                <w:sz w:val="24"/>
                <w:szCs w:val="24"/>
              </w:rPr>
              <w:t>management</w:t>
            </w:r>
          </w:p>
        </w:tc>
        <w:tc>
          <w:tcPr>
            <w:tcW w:w="7942" w:type="dxa"/>
          </w:tcPr>
          <w:p w14:paraId="120132D4"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Ein Spezialist für die operative Dienstplanung. Er entwickelt Konzepte für das Einspringen (z. B. Springerpools) und steuert den Personaleinsatz bei kurzfristigen Ausfällen.</w:t>
            </w:r>
          </w:p>
        </w:tc>
      </w:tr>
      <w:tr w:rsidR="00F0322F" w:rsidRPr="00F0322F" w14:paraId="5452D822" w14:textId="77777777" w:rsidTr="00F0322F">
        <w:trPr>
          <w:jc w:val="center"/>
        </w:trPr>
        <w:tc>
          <w:tcPr>
            <w:tcW w:w="2685" w:type="dxa"/>
          </w:tcPr>
          <w:p w14:paraId="6A7DE493"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Wundexperten mit koordinativer Befugnis</w:t>
            </w:r>
          </w:p>
        </w:tc>
        <w:tc>
          <w:tcPr>
            <w:tcW w:w="7942" w:type="dxa"/>
          </w:tcPr>
          <w:p w14:paraId="7AB6DD40"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Über die reine Wundversorgung hinaus steuert diese Person das Wundmanagement in der Einrichtung. Sie steuert die Materialbestellung, führt Fotodokumentationen und Visiten mit Ärzten durch und evaluiert die Wirksamkeit der Maßnahmen und Prophylaxen.</w:t>
            </w:r>
          </w:p>
        </w:tc>
      </w:tr>
      <w:tr w:rsidR="00F0322F" w:rsidRPr="00F0322F" w14:paraId="3CAB775C" w14:textId="77777777" w:rsidTr="00F0322F">
        <w:trPr>
          <w:jc w:val="center"/>
        </w:trPr>
        <w:tc>
          <w:tcPr>
            <w:tcW w:w="2685" w:type="dxa"/>
          </w:tcPr>
          <w:p w14:paraId="093A822C" w14:textId="3693CAE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Praxisanleitung und Ausbildungs</w:t>
            </w:r>
            <w:r>
              <w:rPr>
                <w:rFonts w:ascii="Arial" w:hAnsi="Arial" w:cs="Arial"/>
                <w:bCs/>
                <w:color w:val="000000" w:themeColor="text1"/>
                <w:sz w:val="24"/>
                <w:szCs w:val="24"/>
              </w:rPr>
              <w:t>-</w:t>
            </w:r>
            <w:r w:rsidRPr="00F0322F">
              <w:rPr>
                <w:rFonts w:ascii="Arial" w:hAnsi="Arial" w:cs="Arial"/>
                <w:bCs/>
                <w:color w:val="000000" w:themeColor="text1"/>
                <w:sz w:val="24"/>
                <w:szCs w:val="24"/>
              </w:rPr>
              <w:t>management</w:t>
            </w:r>
          </w:p>
        </w:tc>
        <w:tc>
          <w:tcPr>
            <w:tcW w:w="7942" w:type="dxa"/>
          </w:tcPr>
          <w:p w14:paraId="24A08217"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Diese Rolle sichert die Zukunft Ihrer Einrichtung. Der Experte plant nicht nur die gesetzlichen Anleitungsstunden, sondern steuert den gesamten Lernprozess der Auszubildenden. Er ist das Bindeglied zur Pflegeschule und sorgt dafür, dass theoretisches Wissen unmittelbar in die praktische Arbeit der Einrichtung einfließt.</w:t>
            </w:r>
          </w:p>
        </w:tc>
      </w:tr>
      <w:tr w:rsidR="00F0322F" w:rsidRPr="00F0322F" w14:paraId="6C8DE26D" w14:textId="77777777" w:rsidTr="00F0322F">
        <w:trPr>
          <w:jc w:val="center"/>
        </w:trPr>
        <w:tc>
          <w:tcPr>
            <w:tcW w:w="2685" w:type="dxa"/>
          </w:tcPr>
          <w:p w14:paraId="190ED772"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Inkontinenzmaterial-Management</w:t>
            </w:r>
          </w:p>
        </w:tc>
        <w:tc>
          <w:tcPr>
            <w:tcW w:w="7942" w:type="dxa"/>
          </w:tcPr>
          <w:p w14:paraId="696BEDC7"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Hier geht es um weit mehr als Logistik. Dieser Experte berät Klienten und Kollegen zur passgenauen Auswahl von Hilfsmitteln. Er führt Miktionsprotokolle aus, steuert die wirtschaftliche Bestellung und evaluiert regelmäßig, ob die Versorgung noch dem aktuellen Hautzustand und Mobilitätsgrad entspricht.</w:t>
            </w:r>
          </w:p>
        </w:tc>
      </w:tr>
      <w:tr w:rsidR="00F0322F" w:rsidRPr="00F0322F" w14:paraId="538C046A" w14:textId="77777777" w:rsidTr="00F0322F">
        <w:trPr>
          <w:jc w:val="center"/>
        </w:trPr>
        <w:tc>
          <w:tcPr>
            <w:tcW w:w="2685" w:type="dxa"/>
          </w:tcPr>
          <w:p w14:paraId="1A346876"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lastRenderedPageBreak/>
              <w:t>Koordination von Neuaufnahmen</w:t>
            </w:r>
          </w:p>
        </w:tc>
        <w:tc>
          <w:tcPr>
            <w:tcW w:w="7942" w:type="dxa"/>
          </w:tcPr>
          <w:p w14:paraId="679829E4"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 xml:space="preserve">Dieser Spezialist steuert den sensiblen Prozess des Einzugs. Er führt das Erstgespräch und überträgt erste Erkenntnisse in die SIS und Maßnahmenplanung, koordiniert die Zimmerherrichtung mit der Hauswirtschaft und begleitet den neuen Klienten sowie dessen Angehörige in den ersten Tagen. </w:t>
            </w:r>
          </w:p>
        </w:tc>
      </w:tr>
      <w:tr w:rsidR="00F0322F" w:rsidRPr="00F0322F" w14:paraId="7BD33C53" w14:textId="77777777" w:rsidTr="00F0322F">
        <w:trPr>
          <w:jc w:val="center"/>
        </w:trPr>
        <w:tc>
          <w:tcPr>
            <w:tcW w:w="2685" w:type="dxa"/>
          </w:tcPr>
          <w:p w14:paraId="3D9248A0" w14:textId="77A8BA41"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Ehrenamtskoordination und Quartiers</w:t>
            </w:r>
            <w:r>
              <w:rPr>
                <w:rFonts w:ascii="Arial" w:hAnsi="Arial" w:cs="Arial"/>
                <w:bCs/>
                <w:color w:val="000000" w:themeColor="text1"/>
                <w:sz w:val="24"/>
                <w:szCs w:val="24"/>
              </w:rPr>
              <w:t>-</w:t>
            </w:r>
            <w:r w:rsidRPr="00F0322F">
              <w:rPr>
                <w:rFonts w:ascii="Arial" w:hAnsi="Arial" w:cs="Arial"/>
                <w:bCs/>
                <w:color w:val="000000" w:themeColor="text1"/>
                <w:sz w:val="24"/>
                <w:szCs w:val="24"/>
              </w:rPr>
              <w:t>vernetzung</w:t>
            </w:r>
          </w:p>
        </w:tc>
        <w:tc>
          <w:tcPr>
            <w:tcW w:w="7942" w:type="dxa"/>
          </w:tcPr>
          <w:p w14:paraId="2FF8EE1B"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Diese Person baut Brücken nach außen. Sie akquiriert und begleitet Ehrenamtliche, integriert sie in den Alltag und sorgt dafür, dass zusätzliche Betreuungsangebote genau dort ankommen, wo sie gebraucht werden.</w:t>
            </w:r>
          </w:p>
        </w:tc>
      </w:tr>
      <w:tr w:rsidR="00F0322F" w:rsidRPr="00F0322F" w14:paraId="501EC129" w14:textId="77777777" w:rsidTr="00F0322F">
        <w:trPr>
          <w:jc w:val="center"/>
        </w:trPr>
        <w:tc>
          <w:tcPr>
            <w:tcW w:w="2685" w:type="dxa"/>
          </w:tcPr>
          <w:p w14:paraId="71BE3708" w14:textId="10C09B8A"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Pflegegrad- und Dokumentations</w:t>
            </w:r>
            <w:r>
              <w:rPr>
                <w:rFonts w:ascii="Arial" w:hAnsi="Arial" w:cs="Arial"/>
                <w:bCs/>
                <w:color w:val="000000" w:themeColor="text1"/>
                <w:sz w:val="24"/>
                <w:szCs w:val="24"/>
              </w:rPr>
              <w:t>-</w:t>
            </w:r>
            <w:r w:rsidRPr="00F0322F">
              <w:rPr>
                <w:rFonts w:ascii="Arial" w:hAnsi="Arial" w:cs="Arial"/>
                <w:bCs/>
                <w:color w:val="000000" w:themeColor="text1"/>
                <w:sz w:val="24"/>
                <w:szCs w:val="24"/>
              </w:rPr>
              <w:t>management</w:t>
            </w:r>
          </w:p>
        </w:tc>
        <w:tc>
          <w:tcPr>
            <w:tcW w:w="7942" w:type="dxa"/>
          </w:tcPr>
          <w:p w14:paraId="295229EA"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 xml:space="preserve">Diese Rolle sichert die Finanzierung. Der Experte prüft regelmäßig, ob die dokumentierten Leistungen und die tatsächliche Pflegebedürftigkeit noch mit dem Pflegegrad übereinstimmen. </w:t>
            </w:r>
          </w:p>
        </w:tc>
      </w:tr>
      <w:tr w:rsidR="00F0322F" w:rsidRPr="00F0322F" w14:paraId="6E966B18" w14:textId="77777777" w:rsidTr="00F0322F">
        <w:trPr>
          <w:jc w:val="center"/>
        </w:trPr>
        <w:tc>
          <w:tcPr>
            <w:tcW w:w="2685" w:type="dxa"/>
          </w:tcPr>
          <w:p w14:paraId="46E522DA" w14:textId="481BC092"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Experte für Medikamenten</w:t>
            </w:r>
            <w:r>
              <w:rPr>
                <w:rFonts w:ascii="Arial" w:hAnsi="Arial" w:cs="Arial"/>
                <w:bCs/>
                <w:color w:val="000000" w:themeColor="text1"/>
                <w:sz w:val="24"/>
                <w:szCs w:val="24"/>
              </w:rPr>
              <w:t>-</w:t>
            </w:r>
            <w:r w:rsidRPr="00F0322F">
              <w:rPr>
                <w:rFonts w:ascii="Arial" w:hAnsi="Arial" w:cs="Arial"/>
                <w:bCs/>
                <w:color w:val="000000" w:themeColor="text1"/>
                <w:sz w:val="24"/>
                <w:szCs w:val="24"/>
              </w:rPr>
              <w:t>management</w:t>
            </w:r>
          </w:p>
        </w:tc>
        <w:tc>
          <w:tcPr>
            <w:tcW w:w="7942" w:type="dxa"/>
          </w:tcPr>
          <w:p w14:paraId="5F76E0AE"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Neben dem Stellen von Medikamenten führt diese Person regelmäßige Schrank- und Vorratskontrollen durch. Sie achtet auf Sterilgut, Verfallsdaten, die Kalibrierung der Blutzuckermessgeräte, die korrekte Lagerung und prüft die Regelmäßigkeit der BTM-Bestandskontrollen.</w:t>
            </w:r>
          </w:p>
        </w:tc>
      </w:tr>
      <w:tr w:rsidR="00F0322F" w:rsidRPr="00F0322F" w14:paraId="33926609" w14:textId="77777777" w:rsidTr="00F0322F">
        <w:trPr>
          <w:jc w:val="center"/>
        </w:trPr>
        <w:tc>
          <w:tcPr>
            <w:tcW w:w="2685" w:type="dxa"/>
          </w:tcPr>
          <w:p w14:paraId="1B97698A"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Pflegevisiten und Qualitätsmonitoring</w:t>
            </w:r>
          </w:p>
        </w:tc>
        <w:tc>
          <w:tcPr>
            <w:tcW w:w="7942" w:type="dxa"/>
          </w:tcPr>
          <w:p w14:paraId="1AB88350"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 xml:space="preserve">Der Experte führt strukturierte Pflegevisiten am Klienten durch, prüft die Übereinstimmung von Planung und Durchführung und gibt den Kollegen direktes fachliches Feedback. </w:t>
            </w:r>
          </w:p>
        </w:tc>
      </w:tr>
      <w:tr w:rsidR="00F0322F" w:rsidRPr="00F0322F" w14:paraId="4CFDF3D2" w14:textId="77777777" w:rsidTr="00F0322F">
        <w:trPr>
          <w:jc w:val="center"/>
        </w:trPr>
        <w:tc>
          <w:tcPr>
            <w:tcW w:w="2685" w:type="dxa"/>
          </w:tcPr>
          <w:p w14:paraId="1261362C" w14:textId="6BB7724C"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Beratungsgespräche und Angehörigen</w:t>
            </w:r>
            <w:r>
              <w:rPr>
                <w:rFonts w:ascii="Arial" w:hAnsi="Arial" w:cs="Arial"/>
                <w:bCs/>
                <w:color w:val="000000" w:themeColor="text1"/>
                <w:sz w:val="24"/>
                <w:szCs w:val="24"/>
              </w:rPr>
              <w:t>-</w:t>
            </w:r>
            <w:proofErr w:type="spellStart"/>
            <w:r w:rsidRPr="00F0322F">
              <w:rPr>
                <w:rFonts w:ascii="Arial" w:hAnsi="Arial" w:cs="Arial"/>
                <w:bCs/>
                <w:color w:val="000000" w:themeColor="text1"/>
                <w:sz w:val="24"/>
                <w:szCs w:val="24"/>
              </w:rPr>
              <w:t>sprechstunden</w:t>
            </w:r>
            <w:proofErr w:type="spellEnd"/>
          </w:p>
        </w:tc>
        <w:tc>
          <w:tcPr>
            <w:tcW w:w="7942" w:type="dxa"/>
          </w:tcPr>
          <w:p w14:paraId="3667F3BA" w14:textId="77777777" w:rsidR="00F0322F" w:rsidRPr="00F0322F" w:rsidRDefault="00F0322F" w:rsidP="00F0322F">
            <w:pPr>
              <w:spacing w:before="120" w:after="120"/>
              <w:rPr>
                <w:rFonts w:ascii="Arial" w:hAnsi="Arial" w:cs="Arial"/>
                <w:bCs/>
                <w:color w:val="000000" w:themeColor="text1"/>
                <w:sz w:val="24"/>
                <w:szCs w:val="24"/>
              </w:rPr>
            </w:pPr>
            <w:r w:rsidRPr="00F0322F">
              <w:rPr>
                <w:rFonts w:ascii="Arial" w:hAnsi="Arial" w:cs="Arial"/>
                <w:bCs/>
                <w:color w:val="000000" w:themeColor="text1"/>
                <w:sz w:val="24"/>
                <w:szCs w:val="24"/>
              </w:rPr>
              <w:t>Diese Rolle entlastet die PDL bei der Kommunikation nach außen. Der Experte bietet feste Sprechzeiten für Angehörige an, berät zu Pflegegraden oder Hilfsmittelversorgungen und fungiert als empathischer Ansprechpartner bei Sorgen oder Konflikten, bevor diese eskalieren.</w:t>
            </w:r>
          </w:p>
        </w:tc>
      </w:tr>
    </w:tbl>
    <w:p w14:paraId="2C8DD221" w14:textId="77777777" w:rsidR="00F0322F" w:rsidRPr="00F0322F" w:rsidRDefault="00F0322F" w:rsidP="0066792A">
      <w:pPr>
        <w:spacing w:before="120" w:after="120"/>
        <w:rPr>
          <w:rFonts w:ascii="Arial" w:eastAsiaTheme="minorHAnsi" w:hAnsi="Arial" w:cs="Arial"/>
          <w:bCs/>
          <w:color w:val="000000" w:themeColor="text1"/>
          <w:sz w:val="24"/>
          <w:szCs w:val="24"/>
        </w:rPr>
      </w:pPr>
    </w:p>
    <w:sectPr w:rsidR="00F0322F" w:rsidRPr="00F0322F" w:rsidSect="00F0322F">
      <w:headerReference w:type="default" r:id="rId9"/>
      <w:pgSz w:w="11906" w:h="16838" w:code="9"/>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D8EC" w14:textId="77777777" w:rsidR="00400BA8" w:rsidRDefault="00400BA8" w:rsidP="002A5D13">
      <w:pPr>
        <w:spacing w:after="0" w:line="240" w:lineRule="auto"/>
      </w:pPr>
      <w:r>
        <w:separator/>
      </w:r>
    </w:p>
  </w:endnote>
  <w:endnote w:type="continuationSeparator" w:id="0">
    <w:p w14:paraId="0EF5389B" w14:textId="77777777" w:rsidR="00400BA8" w:rsidRDefault="00400BA8"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D26A" w14:textId="77777777" w:rsidR="00400BA8" w:rsidRDefault="00400BA8" w:rsidP="002A5D13">
      <w:pPr>
        <w:spacing w:after="0" w:line="240" w:lineRule="auto"/>
      </w:pPr>
      <w:r>
        <w:separator/>
      </w:r>
    </w:p>
  </w:footnote>
  <w:footnote w:type="continuationSeparator" w:id="0">
    <w:p w14:paraId="0DFB7537" w14:textId="77777777" w:rsidR="00400BA8" w:rsidRDefault="00400BA8"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1541640F" w14:textId="146C1059" w:rsidR="007A7CA7" w:rsidRPr="007A7CA7" w:rsidRDefault="00ED3984" w:rsidP="006E0BDB">
          <w:pPr>
            <w:pStyle w:val="Kopfzeile"/>
            <w:jc w:val="center"/>
            <w:rPr>
              <w:b/>
              <w:color w:val="FFFFFF"/>
            </w:rPr>
          </w:pPr>
          <w:r>
            <w:rPr>
              <w:b/>
              <w:color w:val="FFFFFF"/>
              <w:sz w:val="24"/>
            </w:rPr>
            <w:t>Ausgabe 0</w:t>
          </w:r>
          <w:r w:rsidR="0066792A">
            <w:rPr>
              <w:b/>
              <w:color w:val="FFFFFF"/>
              <w:sz w:val="24"/>
            </w:rPr>
            <w:t>3</w:t>
          </w:r>
          <w:r w:rsidR="007A7CA7" w:rsidRPr="007A7CA7">
            <w:rPr>
              <w:b/>
              <w:color w:val="FFFFFF"/>
              <w:sz w:val="24"/>
            </w:rPr>
            <w:t xml:space="preserve"> - 20</w:t>
          </w:r>
          <w:r w:rsidR="00696A92">
            <w:rPr>
              <w:b/>
              <w:color w:val="FFFFFF"/>
              <w:sz w:val="24"/>
            </w:rPr>
            <w:t>2</w:t>
          </w:r>
          <w:r w:rsidR="007F1A2B">
            <w:rPr>
              <w:b/>
              <w:color w:val="FFFFFF"/>
              <w:sz w:val="24"/>
            </w:rPr>
            <w:t>6</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1585796415" name="Grafik 1585796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91176"/>
    <w:multiLevelType w:val="hybridMultilevel"/>
    <w:tmpl w:val="069AB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3624A3"/>
    <w:multiLevelType w:val="hybridMultilevel"/>
    <w:tmpl w:val="94E49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0604190">
    <w:abstractNumId w:val="11"/>
  </w:num>
  <w:num w:numId="2" w16cid:durableId="1456217558">
    <w:abstractNumId w:val="21"/>
  </w:num>
  <w:num w:numId="3" w16cid:durableId="1803574363">
    <w:abstractNumId w:val="23"/>
  </w:num>
  <w:num w:numId="4" w16cid:durableId="1661150236">
    <w:abstractNumId w:val="12"/>
  </w:num>
  <w:num w:numId="5" w16cid:durableId="840630696">
    <w:abstractNumId w:val="6"/>
  </w:num>
  <w:num w:numId="6" w16cid:durableId="1786457857">
    <w:abstractNumId w:val="9"/>
  </w:num>
  <w:num w:numId="7" w16cid:durableId="273442169">
    <w:abstractNumId w:val="14"/>
  </w:num>
  <w:num w:numId="8" w16cid:durableId="1239441314">
    <w:abstractNumId w:val="13"/>
  </w:num>
  <w:num w:numId="9" w16cid:durableId="1978216536">
    <w:abstractNumId w:val="10"/>
  </w:num>
  <w:num w:numId="10" w16cid:durableId="646931857">
    <w:abstractNumId w:val="5"/>
  </w:num>
  <w:num w:numId="11" w16cid:durableId="1137146208">
    <w:abstractNumId w:val="22"/>
  </w:num>
  <w:num w:numId="12" w16cid:durableId="1204052296">
    <w:abstractNumId w:val="16"/>
  </w:num>
  <w:num w:numId="13" w16cid:durableId="1106383001">
    <w:abstractNumId w:val="17"/>
  </w:num>
  <w:num w:numId="14" w16cid:durableId="793400410">
    <w:abstractNumId w:val="15"/>
  </w:num>
  <w:num w:numId="15" w16cid:durableId="170730696">
    <w:abstractNumId w:val="18"/>
  </w:num>
  <w:num w:numId="16" w16cid:durableId="1470124009">
    <w:abstractNumId w:val="19"/>
  </w:num>
  <w:num w:numId="17" w16cid:durableId="1016734673">
    <w:abstractNumId w:val="20"/>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 w:numId="23" w16cid:durableId="2011565787">
    <w:abstractNumId w:val="8"/>
  </w:num>
  <w:num w:numId="24" w16cid:durableId="1718503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50CC"/>
    <w:rsid w:val="000C03BB"/>
    <w:rsid w:val="000C6A2D"/>
    <w:rsid w:val="000E0582"/>
    <w:rsid w:val="0015409B"/>
    <w:rsid w:val="001B429B"/>
    <w:rsid w:val="00205D0C"/>
    <w:rsid w:val="00247E00"/>
    <w:rsid w:val="00267E2B"/>
    <w:rsid w:val="0027096C"/>
    <w:rsid w:val="002766CF"/>
    <w:rsid w:val="0028515F"/>
    <w:rsid w:val="002A5D13"/>
    <w:rsid w:val="002B029B"/>
    <w:rsid w:val="002B4419"/>
    <w:rsid w:val="002D45E4"/>
    <w:rsid w:val="002E4378"/>
    <w:rsid w:val="002F735B"/>
    <w:rsid w:val="002F7B4F"/>
    <w:rsid w:val="00314796"/>
    <w:rsid w:val="003676E3"/>
    <w:rsid w:val="00380EF0"/>
    <w:rsid w:val="003B1C00"/>
    <w:rsid w:val="003E3400"/>
    <w:rsid w:val="003E36DC"/>
    <w:rsid w:val="00400BA8"/>
    <w:rsid w:val="00433F51"/>
    <w:rsid w:val="004556ED"/>
    <w:rsid w:val="004639C0"/>
    <w:rsid w:val="004955F6"/>
    <w:rsid w:val="00496A7E"/>
    <w:rsid w:val="004A47F9"/>
    <w:rsid w:val="004B6C90"/>
    <w:rsid w:val="004C2396"/>
    <w:rsid w:val="0050689E"/>
    <w:rsid w:val="00551B88"/>
    <w:rsid w:val="00587D31"/>
    <w:rsid w:val="005A0C69"/>
    <w:rsid w:val="005A461E"/>
    <w:rsid w:val="005E1850"/>
    <w:rsid w:val="00606AB2"/>
    <w:rsid w:val="00614D0A"/>
    <w:rsid w:val="00653E72"/>
    <w:rsid w:val="00661981"/>
    <w:rsid w:val="0066792A"/>
    <w:rsid w:val="00672352"/>
    <w:rsid w:val="00696A92"/>
    <w:rsid w:val="006A5CFE"/>
    <w:rsid w:val="006E0BDB"/>
    <w:rsid w:val="006E18EF"/>
    <w:rsid w:val="006E2625"/>
    <w:rsid w:val="00782522"/>
    <w:rsid w:val="007A7CA7"/>
    <w:rsid w:val="007B0290"/>
    <w:rsid w:val="007C0AE5"/>
    <w:rsid w:val="007E1A2E"/>
    <w:rsid w:val="007F1A2B"/>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20C9E"/>
    <w:rsid w:val="00AC136E"/>
    <w:rsid w:val="00B01FFE"/>
    <w:rsid w:val="00B42C1E"/>
    <w:rsid w:val="00B707AF"/>
    <w:rsid w:val="00B87D52"/>
    <w:rsid w:val="00BD71E9"/>
    <w:rsid w:val="00C135D1"/>
    <w:rsid w:val="00C310AF"/>
    <w:rsid w:val="00C73E1A"/>
    <w:rsid w:val="00C94DCF"/>
    <w:rsid w:val="00CC38C8"/>
    <w:rsid w:val="00CE3BE0"/>
    <w:rsid w:val="00D86187"/>
    <w:rsid w:val="00DB146B"/>
    <w:rsid w:val="00DB32C7"/>
    <w:rsid w:val="00E113DA"/>
    <w:rsid w:val="00E2265E"/>
    <w:rsid w:val="00E8594F"/>
    <w:rsid w:val="00ED3984"/>
    <w:rsid w:val="00EF0BF1"/>
    <w:rsid w:val="00F0322F"/>
    <w:rsid w:val="00F20663"/>
    <w:rsid w:val="00F4469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59"/>
    <w:rsid w:val="006679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2026-02-08T22:56:00Z</dcterms:created>
  <dcterms:modified xsi:type="dcterms:W3CDTF">2026-02-08T22:56:00Z</dcterms:modified>
</cp:coreProperties>
</file>