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9239" w14:textId="09B23C5C" w:rsidR="000D3080" w:rsidRDefault="007A7CA7" w:rsidP="000D3080">
      <w:pPr>
        <w:tabs>
          <w:tab w:val="left" w:pos="5280"/>
        </w:tabs>
        <w:rPr>
          <w:rFonts w:ascii="Arial" w:hAnsi="Arial" w:cs="Arial"/>
          <w:bCs/>
          <w:color w:val="000000" w:themeColor="text1"/>
          <w:sz w:val="24"/>
          <w:szCs w:val="24"/>
        </w:rPr>
      </w:pPr>
      <w:r>
        <w:rPr>
          <w:b/>
          <w:noProof/>
          <w:lang w:eastAsia="de-DE"/>
        </w:rPr>
        <w:tab/>
      </w:r>
    </w:p>
    <w:p w14:paraId="1E268C30" w14:textId="55B7750D" w:rsidR="004E16F9" w:rsidRDefault="004E16F9" w:rsidP="004E16F9">
      <w:pPr>
        <w:rPr>
          <w:rFonts w:ascii="Arial" w:hAnsi="Arial" w:cs="Arial"/>
        </w:rPr>
      </w:pPr>
    </w:p>
    <w:tbl>
      <w:tblPr>
        <w:tblStyle w:val="Tabellenraster"/>
        <w:tblW w:w="10201" w:type="dxa"/>
        <w:jc w:val="center"/>
        <w:tblLook w:val="04A0" w:firstRow="1" w:lastRow="0" w:firstColumn="1" w:lastColumn="0" w:noHBand="0" w:noVBand="1"/>
      </w:tblPr>
      <w:tblGrid>
        <w:gridCol w:w="10201"/>
      </w:tblGrid>
      <w:tr w:rsidR="004E16F9" w:rsidRPr="004E16F9" w14:paraId="4B3DA750" w14:textId="77777777" w:rsidTr="004E16F9">
        <w:trPr>
          <w:jc w:val="center"/>
        </w:trPr>
        <w:tc>
          <w:tcPr>
            <w:tcW w:w="10201" w:type="dxa"/>
            <w:shd w:val="clear" w:color="auto" w:fill="2E75CC"/>
          </w:tcPr>
          <w:p w14:paraId="0B1BF975" w14:textId="7A125E58" w:rsidR="004E16F9" w:rsidRPr="004E16F9" w:rsidRDefault="004E16F9" w:rsidP="004E16F9">
            <w:pPr>
              <w:spacing w:before="120" w:after="120"/>
              <w:rPr>
                <w:rFonts w:ascii="Arial" w:hAnsi="Arial" w:cs="Arial"/>
                <w:b/>
                <w:color w:val="FFFFFF"/>
                <w:sz w:val="28"/>
                <w:szCs w:val="28"/>
              </w:rPr>
            </w:pPr>
            <w:r w:rsidRPr="004E16F9">
              <w:rPr>
                <w:rFonts w:ascii="Arial" w:hAnsi="Arial" w:cs="Arial"/>
                <w:b/>
                <w:color w:val="FFFFFF"/>
                <w:sz w:val="28"/>
                <w:szCs w:val="28"/>
              </w:rPr>
              <w:t>Muster: Merkblatt zum „Fingertest“</w:t>
            </w:r>
          </w:p>
        </w:tc>
      </w:tr>
      <w:tr w:rsidR="004E16F9" w:rsidRPr="004E16F9" w14:paraId="2C0617F4" w14:textId="77777777" w:rsidTr="004E16F9">
        <w:trPr>
          <w:jc w:val="center"/>
        </w:trPr>
        <w:tc>
          <w:tcPr>
            <w:tcW w:w="10201" w:type="dxa"/>
          </w:tcPr>
          <w:p w14:paraId="7D79A4CD" w14:textId="13C22933" w:rsidR="004E16F9" w:rsidRPr="004E16F9" w:rsidRDefault="004E16F9" w:rsidP="004E16F9">
            <w:pPr>
              <w:spacing w:before="120" w:after="120"/>
              <w:rPr>
                <w:rFonts w:ascii="Arial" w:hAnsi="Arial" w:cs="Arial"/>
                <w:b/>
                <w:bCs/>
                <w:color w:val="000000" w:themeColor="text1"/>
                <w:sz w:val="24"/>
                <w:szCs w:val="24"/>
              </w:rPr>
            </w:pPr>
            <w:r w:rsidRPr="004E16F9">
              <w:rPr>
                <w:rFonts w:ascii="Arial" w:hAnsi="Arial" w:cs="Arial"/>
                <w:b/>
                <w:bCs/>
                <w:color w:val="000000" w:themeColor="text1"/>
                <w:sz w:val="24"/>
                <w:szCs w:val="24"/>
              </w:rPr>
              <w:t>Ziel des Fingertestes ist es, eine Rötung von einem Dekubitus zu unterscheiden.</w:t>
            </w:r>
          </w:p>
          <w:p w14:paraId="3EB45358"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 xml:space="preserve">Eine Rötung, die sich wegdrücken lässt (reaktive Rötung) ist kein Dekubitus. </w:t>
            </w:r>
          </w:p>
          <w:p w14:paraId="1A8E49FA" w14:textId="701FF670"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Eine nicht wegdrückbare Rötung ist ein Dekubitus Kategorie/Grad 1.</w:t>
            </w:r>
          </w:p>
          <w:p w14:paraId="5FB8C506" w14:textId="77777777" w:rsidR="004E16F9" w:rsidRPr="004E16F9" w:rsidRDefault="004E16F9" w:rsidP="004E16F9">
            <w:pPr>
              <w:spacing w:before="120" w:after="120"/>
              <w:rPr>
                <w:rFonts w:ascii="Arial" w:hAnsi="Arial" w:cs="Arial"/>
                <w:b/>
                <w:bCs/>
                <w:color w:val="000000" w:themeColor="text1"/>
                <w:sz w:val="24"/>
                <w:szCs w:val="24"/>
              </w:rPr>
            </w:pPr>
            <w:r w:rsidRPr="004E16F9">
              <w:rPr>
                <w:rFonts w:ascii="Arial" w:hAnsi="Arial" w:cs="Arial"/>
                <w:b/>
                <w:bCs/>
                <w:color w:val="000000" w:themeColor="text1"/>
                <w:sz w:val="24"/>
                <w:szCs w:val="24"/>
              </w:rPr>
              <w:t>So funktioniert der Fingertest</w:t>
            </w:r>
          </w:p>
          <w:p w14:paraId="08B93FD7" w14:textId="72E89B3A" w:rsidR="004E16F9" w:rsidRPr="004E16F9" w:rsidRDefault="004E16F9" w:rsidP="004E16F9">
            <w:pPr>
              <w:spacing w:before="120" w:after="120"/>
              <w:rPr>
                <w:rFonts w:ascii="Arial" w:hAnsi="Arial" w:cs="Arial"/>
                <w:color w:val="000000" w:themeColor="text1"/>
                <w:sz w:val="24"/>
                <w:szCs w:val="24"/>
              </w:rPr>
            </w:pPr>
            <w:r w:rsidRPr="004E16F9">
              <w:rPr>
                <w:rFonts w:ascii="Arial" w:hAnsi="Arial" w:cs="Arial"/>
                <w:color w:val="000000" w:themeColor="text1"/>
                <w:sz w:val="24"/>
                <w:szCs w:val="24"/>
              </w:rPr>
              <w:t xml:space="preserve">Wenn Sie eine Rötung auf </w:t>
            </w:r>
            <w:proofErr w:type="spellStart"/>
            <w:r w:rsidRPr="004E16F9">
              <w:rPr>
                <w:rFonts w:ascii="Arial" w:hAnsi="Arial" w:cs="Arial"/>
                <w:color w:val="000000" w:themeColor="text1"/>
                <w:sz w:val="24"/>
                <w:szCs w:val="24"/>
              </w:rPr>
              <w:t>dekubitusgefährdeten</w:t>
            </w:r>
            <w:proofErr w:type="spellEnd"/>
            <w:r w:rsidRPr="004E16F9">
              <w:rPr>
                <w:rFonts w:ascii="Arial" w:hAnsi="Arial" w:cs="Arial"/>
                <w:color w:val="000000" w:themeColor="text1"/>
                <w:sz w:val="24"/>
                <w:szCs w:val="24"/>
              </w:rPr>
              <w:t xml:space="preserve"> Stellen Ihrer Pflegekunden entdecken, gehen Sie wie folgt vor:</w:t>
            </w:r>
          </w:p>
          <w:p w14:paraId="45D2E2E3"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Legen Sie die Rötung frei und sorgen Sie für gute Sicht</w:t>
            </w:r>
          </w:p>
          <w:p w14:paraId="4656F8C1"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Üben Sie mit dem Finger sanft Druck aus</w:t>
            </w:r>
          </w:p>
          <w:p w14:paraId="1191D93C"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Lösen Sie den Druck</w:t>
            </w:r>
          </w:p>
          <w:p w14:paraId="23479376"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Beobachten Sie die Haut</w:t>
            </w:r>
          </w:p>
          <w:p w14:paraId="0BF0E658"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Dokumentieren Sie das Ergebnis im Pflegebericht/Wunddokumentation und ggf. im Bewegungsprotokoll</w:t>
            </w:r>
          </w:p>
          <w:p w14:paraId="1FA2AEA8" w14:textId="1D399E15" w:rsidR="004E16F9" w:rsidRPr="004E16F9" w:rsidRDefault="004E16F9" w:rsidP="004E16F9">
            <w:pPr>
              <w:pStyle w:val="Listenabsatz"/>
              <w:numPr>
                <w:ilvl w:val="0"/>
                <w:numId w:val="33"/>
              </w:numPr>
              <w:spacing w:before="120" w:after="120" w:line="276" w:lineRule="auto"/>
              <w:ind w:left="306" w:hanging="219"/>
              <w:rPr>
                <w:rFonts w:ascii="Arial" w:hAnsi="Arial" w:cs="Arial"/>
                <w:color w:val="000000" w:themeColor="text1"/>
                <w:sz w:val="24"/>
              </w:rPr>
            </w:pPr>
            <w:r w:rsidRPr="004E16F9">
              <w:rPr>
                <w:rFonts w:ascii="Arial" w:eastAsiaTheme="minorHAnsi" w:hAnsi="Arial" w:cs="Arial"/>
                <w:color w:val="000000" w:themeColor="text1"/>
                <w:sz w:val="24"/>
              </w:rPr>
              <w:t>Sorgen Sie bei einem positiven Fingertest für Druckentlastung und planen Sie weitere geeignete</w:t>
            </w:r>
            <w:r w:rsidRPr="004E16F9">
              <w:rPr>
                <w:rFonts w:ascii="Arial" w:hAnsi="Arial" w:cs="Arial"/>
                <w:color w:val="000000" w:themeColor="text1"/>
                <w:sz w:val="24"/>
              </w:rPr>
              <w:t xml:space="preserve"> Maßnahmen</w:t>
            </w:r>
          </w:p>
          <w:p w14:paraId="3F1328CA" w14:textId="77777777" w:rsidR="004E16F9" w:rsidRPr="004E16F9" w:rsidRDefault="004E16F9" w:rsidP="004E16F9">
            <w:pPr>
              <w:spacing w:before="120" w:after="120"/>
              <w:rPr>
                <w:rFonts w:ascii="Arial" w:hAnsi="Arial" w:cs="Arial"/>
                <w:b/>
                <w:bCs/>
                <w:color w:val="000000" w:themeColor="text1"/>
                <w:sz w:val="24"/>
                <w:szCs w:val="24"/>
              </w:rPr>
            </w:pPr>
            <w:r w:rsidRPr="004E16F9">
              <w:rPr>
                <w:rFonts w:ascii="Arial" w:hAnsi="Arial" w:cs="Arial"/>
                <w:b/>
                <w:bCs/>
                <w:color w:val="000000" w:themeColor="text1"/>
                <w:sz w:val="24"/>
                <w:szCs w:val="24"/>
              </w:rPr>
              <w:t>Was der Fingertest kann</w:t>
            </w:r>
          </w:p>
          <w:p w14:paraId="5D10AB57"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 xml:space="preserve">Ermöglicht Ihnen eine frühe Einschätzung und damit Maßnahmen </w:t>
            </w:r>
          </w:p>
          <w:p w14:paraId="4504AD9D" w14:textId="70BCE4A7" w:rsidR="004E16F9" w:rsidRPr="004E16F9" w:rsidRDefault="004E16F9" w:rsidP="004E16F9">
            <w:pPr>
              <w:pStyle w:val="Listenabsatz"/>
              <w:numPr>
                <w:ilvl w:val="0"/>
                <w:numId w:val="33"/>
              </w:numPr>
              <w:spacing w:before="120" w:after="120" w:line="276" w:lineRule="auto"/>
              <w:ind w:left="306" w:hanging="219"/>
              <w:rPr>
                <w:rFonts w:ascii="Arial" w:hAnsi="Arial" w:cs="Arial"/>
                <w:color w:val="000000" w:themeColor="text1"/>
                <w:sz w:val="24"/>
              </w:rPr>
            </w:pPr>
            <w:r w:rsidRPr="004E16F9">
              <w:rPr>
                <w:rFonts w:ascii="Arial" w:eastAsiaTheme="minorHAnsi" w:hAnsi="Arial" w:cs="Arial"/>
                <w:color w:val="000000" w:themeColor="text1"/>
                <w:sz w:val="24"/>
              </w:rPr>
              <w:t>Ist schnell</w:t>
            </w:r>
            <w:r w:rsidRPr="004E16F9">
              <w:rPr>
                <w:rFonts w:ascii="Arial" w:hAnsi="Arial" w:cs="Arial"/>
                <w:color w:val="000000" w:themeColor="text1"/>
                <w:sz w:val="24"/>
              </w:rPr>
              <w:t xml:space="preserve"> und ohne Hilfsmittel durchführbar</w:t>
            </w:r>
          </w:p>
          <w:p w14:paraId="5F8542DD" w14:textId="77777777" w:rsidR="004E16F9" w:rsidRPr="004E16F9" w:rsidRDefault="004E16F9" w:rsidP="004E16F9">
            <w:pPr>
              <w:spacing w:before="120" w:after="120"/>
              <w:rPr>
                <w:rFonts w:ascii="Arial" w:hAnsi="Arial" w:cs="Arial"/>
                <w:b/>
                <w:bCs/>
                <w:color w:val="000000" w:themeColor="text1"/>
                <w:sz w:val="24"/>
                <w:szCs w:val="24"/>
              </w:rPr>
            </w:pPr>
            <w:r w:rsidRPr="004E16F9">
              <w:rPr>
                <w:rFonts w:ascii="Arial" w:hAnsi="Arial" w:cs="Arial"/>
                <w:b/>
                <w:bCs/>
                <w:color w:val="000000" w:themeColor="text1"/>
                <w:sz w:val="24"/>
                <w:szCs w:val="24"/>
              </w:rPr>
              <w:t>Was der Fingertest nicht kann</w:t>
            </w:r>
          </w:p>
          <w:p w14:paraId="704B00A0" w14:textId="768EEA7C" w:rsidR="004E16F9" w:rsidRPr="004E16F9" w:rsidRDefault="004E16F9" w:rsidP="004E16F9">
            <w:pPr>
              <w:spacing w:before="120" w:after="120"/>
              <w:rPr>
                <w:rFonts w:ascii="Arial" w:hAnsi="Arial" w:cs="Arial"/>
                <w:color w:val="000000" w:themeColor="text1"/>
                <w:sz w:val="24"/>
                <w:szCs w:val="24"/>
              </w:rPr>
            </w:pPr>
            <w:r w:rsidRPr="004E16F9">
              <w:rPr>
                <w:rFonts w:ascii="Arial" w:hAnsi="Arial" w:cs="Arial"/>
                <w:color w:val="000000" w:themeColor="text1"/>
                <w:sz w:val="24"/>
                <w:szCs w:val="24"/>
              </w:rPr>
              <w:t>Der Fingertest hat seine Grenzen. Er:</w:t>
            </w:r>
          </w:p>
          <w:p w14:paraId="0863F550"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hAnsi="Arial" w:cs="Arial"/>
                <w:color w:val="000000" w:themeColor="text1"/>
                <w:sz w:val="24"/>
              </w:rPr>
              <w:t xml:space="preserve">Ist kein </w:t>
            </w:r>
            <w:r w:rsidRPr="004E16F9">
              <w:rPr>
                <w:rFonts w:ascii="Arial" w:eastAsiaTheme="minorHAnsi" w:hAnsi="Arial" w:cs="Arial"/>
                <w:color w:val="000000" w:themeColor="text1"/>
                <w:sz w:val="24"/>
              </w:rPr>
              <w:t>Ersatz für eine Hautinspektion mit Kriterien wie Temperatur, Schmerz, Konsistenz, Veränderungen</w:t>
            </w:r>
          </w:p>
          <w:p w14:paraId="7DC6A2D9" w14:textId="77777777" w:rsidR="004E16F9" w:rsidRPr="004E16F9" w:rsidRDefault="004E16F9" w:rsidP="004E16F9">
            <w:pPr>
              <w:pStyle w:val="Listenabsatz"/>
              <w:numPr>
                <w:ilvl w:val="0"/>
                <w:numId w:val="33"/>
              </w:numPr>
              <w:spacing w:before="120" w:after="120" w:line="276" w:lineRule="auto"/>
              <w:ind w:left="306" w:hanging="219"/>
              <w:rPr>
                <w:rFonts w:ascii="Arial" w:eastAsiaTheme="minorHAnsi" w:hAnsi="Arial" w:cs="Arial"/>
                <w:color w:val="000000" w:themeColor="text1"/>
                <w:sz w:val="24"/>
              </w:rPr>
            </w:pPr>
            <w:r w:rsidRPr="004E16F9">
              <w:rPr>
                <w:rFonts w:ascii="Arial" w:eastAsiaTheme="minorHAnsi" w:hAnsi="Arial" w:cs="Arial"/>
                <w:color w:val="000000" w:themeColor="text1"/>
                <w:sz w:val="24"/>
              </w:rPr>
              <w:t>Ist nicht zulässig bei: stark pigmentierter Haut, Ödemen, sehr dünner oder alter Haut, Narbengewebe</w:t>
            </w:r>
          </w:p>
          <w:p w14:paraId="01F5C1CF" w14:textId="6BC9C810" w:rsidR="004E16F9" w:rsidRPr="004E16F9" w:rsidRDefault="004E16F9" w:rsidP="004E16F9">
            <w:pPr>
              <w:pStyle w:val="Listenabsatz"/>
              <w:numPr>
                <w:ilvl w:val="0"/>
                <w:numId w:val="33"/>
              </w:numPr>
              <w:spacing w:before="120" w:after="120" w:line="276" w:lineRule="auto"/>
              <w:ind w:left="306" w:hanging="219"/>
              <w:rPr>
                <w:rFonts w:ascii="Arial" w:hAnsi="Arial" w:cs="Arial"/>
                <w:color w:val="000000" w:themeColor="text1"/>
                <w:sz w:val="24"/>
              </w:rPr>
            </w:pPr>
            <w:r w:rsidRPr="004E16F9">
              <w:rPr>
                <w:rFonts w:ascii="Arial" w:eastAsiaTheme="minorHAnsi" w:hAnsi="Arial" w:cs="Arial"/>
                <w:color w:val="000000" w:themeColor="text1"/>
                <w:sz w:val="24"/>
              </w:rPr>
              <w:t>Ermöglicht keine</w:t>
            </w:r>
            <w:r w:rsidRPr="004E16F9">
              <w:rPr>
                <w:rFonts w:ascii="Arial" w:hAnsi="Arial" w:cs="Arial"/>
                <w:color w:val="000000" w:themeColor="text1"/>
                <w:sz w:val="24"/>
              </w:rPr>
              <w:t xml:space="preserve"> Aussage über die Ursachen – Druck, Reibung, Scherkräfte Feuchtigkeit?</w:t>
            </w:r>
          </w:p>
          <w:p w14:paraId="70A1B5D2" w14:textId="46BD8772" w:rsidR="004E16F9" w:rsidRPr="004E16F9" w:rsidRDefault="004E16F9" w:rsidP="004E16F9">
            <w:pPr>
              <w:spacing w:before="120" w:after="120"/>
              <w:rPr>
                <w:rFonts w:ascii="Arial" w:hAnsi="Arial" w:cs="Arial"/>
                <w:color w:val="000000" w:themeColor="text1"/>
                <w:sz w:val="24"/>
                <w:szCs w:val="24"/>
              </w:rPr>
            </w:pPr>
            <w:r w:rsidRPr="004E16F9">
              <w:rPr>
                <w:rFonts w:ascii="Arial" w:hAnsi="Arial" w:cs="Arial"/>
                <w:color w:val="000000" w:themeColor="text1"/>
                <w:sz w:val="24"/>
                <w:szCs w:val="24"/>
              </w:rPr>
              <w:t>Achtung: Auch wegdrückbare Rötungen sind ein Warnsignal und zu beobachten sowie ggf. ärztlich abzuklären.</w:t>
            </w:r>
          </w:p>
          <w:p w14:paraId="06C92783" w14:textId="77777777" w:rsidR="004E16F9" w:rsidRPr="004E16F9" w:rsidRDefault="004E16F9" w:rsidP="004E16F9">
            <w:pPr>
              <w:spacing w:before="120" w:after="120"/>
              <w:rPr>
                <w:rFonts w:ascii="Arial" w:hAnsi="Arial" w:cs="Arial"/>
                <w:b/>
                <w:bCs/>
                <w:color w:val="000000" w:themeColor="text1"/>
                <w:sz w:val="24"/>
                <w:szCs w:val="24"/>
              </w:rPr>
            </w:pPr>
            <w:r w:rsidRPr="004E16F9">
              <w:rPr>
                <w:rFonts w:ascii="Arial" w:hAnsi="Arial" w:cs="Arial"/>
                <w:b/>
                <w:bCs/>
                <w:color w:val="000000" w:themeColor="text1"/>
                <w:sz w:val="24"/>
                <w:szCs w:val="24"/>
              </w:rPr>
              <w:t>Und wie ist der Fingertest zu dokumentieren?</w:t>
            </w:r>
          </w:p>
          <w:p w14:paraId="324650EB" w14:textId="7E31B75B" w:rsidR="004E16F9" w:rsidRPr="004E16F9" w:rsidRDefault="004E16F9" w:rsidP="004E16F9">
            <w:pPr>
              <w:spacing w:before="120" w:after="120"/>
              <w:rPr>
                <w:rFonts w:ascii="Arial" w:hAnsi="Arial" w:cs="Arial"/>
                <w:color w:val="000000" w:themeColor="text1"/>
                <w:sz w:val="24"/>
                <w:szCs w:val="24"/>
              </w:rPr>
            </w:pPr>
            <w:r w:rsidRPr="004E16F9">
              <w:rPr>
                <w:rFonts w:ascii="Arial" w:hAnsi="Arial" w:cs="Arial"/>
                <w:color w:val="000000" w:themeColor="text1"/>
                <w:sz w:val="24"/>
                <w:szCs w:val="24"/>
              </w:rPr>
              <w:t>Verzichten Sie auf Formulierungen wie „Kein Dekubitus laut Fingertest“. Das könnte so verstanden werden, dass Sie keine gründliche Hautbeobachtung vorgenommen haben. Beschreiben Sie stattdessen, was Sie festgestellt haben und welche Maßnahmen Sie abgeleitet haben.</w:t>
            </w:r>
          </w:p>
          <w:p w14:paraId="4E9B0470" w14:textId="77777777" w:rsidR="004E16F9" w:rsidRPr="004E16F9" w:rsidRDefault="004E16F9" w:rsidP="004E16F9">
            <w:pPr>
              <w:spacing w:before="120" w:after="120"/>
              <w:rPr>
                <w:rFonts w:ascii="Arial" w:hAnsi="Arial" w:cs="Arial"/>
                <w:color w:val="000000" w:themeColor="text1"/>
                <w:sz w:val="24"/>
                <w:szCs w:val="24"/>
              </w:rPr>
            </w:pPr>
            <w:r w:rsidRPr="004E16F9">
              <w:rPr>
                <w:rFonts w:ascii="Arial" w:hAnsi="Arial" w:cs="Arial"/>
                <w:color w:val="000000" w:themeColor="text1"/>
                <w:sz w:val="24"/>
                <w:szCs w:val="24"/>
              </w:rPr>
              <w:t>Ein Beispiel für die Dokumentation des Fingertestes im Pflegebericht: „Rötung am Steiß, aktuell wegdrückbar. Die Haut ist warm, keine Schmerzangabe. Druckentlastung eingeleitet und Bewegungsprotokoll angelegt.“</w:t>
            </w:r>
          </w:p>
        </w:tc>
      </w:tr>
    </w:tbl>
    <w:p w14:paraId="2199A39D" w14:textId="77777777" w:rsidR="004E16F9" w:rsidRPr="000D3080" w:rsidRDefault="004E16F9" w:rsidP="0066792A">
      <w:pPr>
        <w:spacing w:before="120" w:after="120"/>
        <w:rPr>
          <w:rFonts w:ascii="Arial" w:eastAsiaTheme="minorHAnsi" w:hAnsi="Arial" w:cs="Arial"/>
          <w:color w:val="000000" w:themeColor="text1"/>
          <w:sz w:val="24"/>
          <w:szCs w:val="24"/>
        </w:rPr>
      </w:pPr>
    </w:p>
    <w:sectPr w:rsidR="004E16F9" w:rsidRPr="000D3080" w:rsidSect="00D545EC">
      <w:headerReference w:type="default" r:id="rId9"/>
      <w:pgSz w:w="11906" w:h="16838" w:code="9"/>
      <w:pgMar w:top="-1418"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543C" w14:textId="77777777" w:rsidR="00AB2A68" w:rsidRDefault="00AB2A68" w:rsidP="002A5D13">
      <w:pPr>
        <w:spacing w:after="0" w:line="240" w:lineRule="auto"/>
      </w:pPr>
      <w:r>
        <w:separator/>
      </w:r>
    </w:p>
  </w:endnote>
  <w:endnote w:type="continuationSeparator" w:id="0">
    <w:p w14:paraId="49FA17EB" w14:textId="77777777" w:rsidR="00AB2A68" w:rsidRDefault="00AB2A68"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8006" w14:textId="77777777" w:rsidR="00AB2A68" w:rsidRDefault="00AB2A68" w:rsidP="002A5D13">
      <w:pPr>
        <w:spacing w:after="0" w:line="240" w:lineRule="auto"/>
      </w:pPr>
      <w:r>
        <w:separator/>
      </w:r>
    </w:p>
  </w:footnote>
  <w:footnote w:type="continuationSeparator" w:id="0">
    <w:p w14:paraId="4C5219F8" w14:textId="77777777" w:rsidR="00AB2A68" w:rsidRDefault="00AB2A68"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030942" w14:textId="77777777" w:rsidTr="005A461E">
      <w:tc>
        <w:tcPr>
          <w:tcW w:w="1500" w:type="pct"/>
          <w:tcBorders>
            <w:bottom w:val="single" w:sz="4" w:space="0" w:color="auto"/>
          </w:tcBorders>
          <w:shd w:val="clear" w:color="auto" w:fill="3480C6"/>
          <w:vAlign w:val="center"/>
        </w:tcPr>
        <w:p w14:paraId="61A4D29F" w14:textId="728EA9FB" w:rsidR="007A7CA7" w:rsidRDefault="00ED3984" w:rsidP="006E0BDB">
          <w:pPr>
            <w:pStyle w:val="Kopfzeile"/>
            <w:jc w:val="center"/>
            <w:rPr>
              <w:b/>
              <w:color w:val="FFFFFF"/>
              <w:sz w:val="24"/>
            </w:rPr>
          </w:pPr>
          <w:r>
            <w:rPr>
              <w:b/>
              <w:color w:val="FFFFFF"/>
              <w:sz w:val="24"/>
            </w:rPr>
            <w:t>Ausgabe 0</w:t>
          </w:r>
          <w:r w:rsidR="0066792A">
            <w:rPr>
              <w:b/>
              <w:color w:val="FFFFFF"/>
              <w:sz w:val="24"/>
            </w:rPr>
            <w:t>3</w:t>
          </w:r>
          <w:r w:rsidR="007A7CA7" w:rsidRPr="007A7CA7">
            <w:rPr>
              <w:b/>
              <w:color w:val="FFFFFF"/>
              <w:sz w:val="24"/>
            </w:rPr>
            <w:t xml:space="preserve"> </w:t>
          </w:r>
          <w:r w:rsidR="000D3080">
            <w:rPr>
              <w:b/>
              <w:color w:val="FFFFFF"/>
              <w:sz w:val="24"/>
            </w:rPr>
            <w:t>–</w:t>
          </w:r>
          <w:r w:rsidR="007A7CA7" w:rsidRPr="007A7CA7">
            <w:rPr>
              <w:b/>
              <w:color w:val="FFFFFF"/>
              <w:sz w:val="24"/>
            </w:rPr>
            <w:t xml:space="preserve"> 20</w:t>
          </w:r>
          <w:r w:rsidR="00696A92">
            <w:rPr>
              <w:b/>
              <w:color w:val="FFFFFF"/>
              <w:sz w:val="24"/>
            </w:rPr>
            <w:t>2</w:t>
          </w:r>
          <w:r w:rsidR="007F1A2B">
            <w:rPr>
              <w:b/>
              <w:color w:val="FFFFFF"/>
              <w:sz w:val="24"/>
            </w:rPr>
            <w:t>6</w:t>
          </w:r>
        </w:p>
        <w:p w14:paraId="1541640F" w14:textId="5449DF13" w:rsidR="000D3080" w:rsidRPr="007A7CA7" w:rsidRDefault="000D3080" w:rsidP="006E0BDB">
          <w:pPr>
            <w:pStyle w:val="Kopfzeile"/>
            <w:jc w:val="center"/>
            <w:rPr>
              <w:b/>
              <w:color w:val="FFFFFF"/>
            </w:rPr>
          </w:pPr>
          <w:r>
            <w:rPr>
              <w:b/>
              <w:color w:val="FFFFFF"/>
            </w:rPr>
            <w:t>QM-Update</w:t>
          </w:r>
        </w:p>
      </w:tc>
      <w:tc>
        <w:tcPr>
          <w:tcW w:w="4000" w:type="pct"/>
          <w:tcBorders>
            <w:bottom w:val="single" w:sz="4" w:space="0" w:color="auto"/>
          </w:tcBorders>
          <w:vAlign w:val="bottom"/>
        </w:tcPr>
        <w:p w14:paraId="08A8564A" w14:textId="408FC76F" w:rsidR="007A7CA7" w:rsidRPr="007A7CA7" w:rsidRDefault="00696A92" w:rsidP="005A461E">
          <w:pPr>
            <w:pStyle w:val="Kopfzeile"/>
            <w:jc w:val="center"/>
            <w:rPr>
              <w:color w:val="000000"/>
              <w:sz w:val="24"/>
            </w:rPr>
          </w:pPr>
          <w:r w:rsidRPr="006E1553">
            <w:rPr>
              <w:rFonts w:ascii="Arial" w:hAnsi="Arial" w:cs="Arial"/>
              <w:b/>
              <w:noProof/>
              <w:color w:val="000000"/>
              <w:sz w:val="24"/>
              <w:lang w:eastAsia="de-DE"/>
            </w:rPr>
            <w:drawing>
              <wp:inline distT="0" distB="0" distL="0" distR="0" wp14:anchorId="02A1650F" wp14:editId="69000369">
                <wp:extent cx="2169160" cy="723265"/>
                <wp:effectExtent l="0" t="0" r="0" b="0"/>
                <wp:docPr id="1602259733" name="Grafik 160225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tc>
    </w:tr>
  </w:tbl>
  <w:p w14:paraId="3887018B" w14:textId="77777777" w:rsidR="007A7CA7" w:rsidRDefault="007A7CA7">
    <w:pPr>
      <w:pStyle w:val="Kopfzeile"/>
    </w:pPr>
  </w:p>
  <w:p w14:paraId="2E52FFC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0E1909"/>
    <w:multiLevelType w:val="hybridMultilevel"/>
    <w:tmpl w:val="6C2C6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447D22"/>
    <w:multiLevelType w:val="hybridMultilevel"/>
    <w:tmpl w:val="BF663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3433C"/>
    <w:multiLevelType w:val="hybridMultilevel"/>
    <w:tmpl w:val="43185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591176"/>
    <w:multiLevelType w:val="hybridMultilevel"/>
    <w:tmpl w:val="069AB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B32F4A"/>
    <w:multiLevelType w:val="hybridMultilevel"/>
    <w:tmpl w:val="CC8ED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4310EA"/>
    <w:multiLevelType w:val="multilevel"/>
    <w:tmpl w:val="71CAEF9C"/>
    <w:lvl w:ilvl="0">
      <w:start w:val="3"/>
      <w:numFmt w:val="bullet"/>
      <w:lvlText w:val="-"/>
      <w:lvlJc w:val="left"/>
      <w:pPr>
        <w:ind w:left="720" w:hanging="360"/>
      </w:pPr>
      <w:rPr>
        <w:rFonts w:ascii="Arial" w:eastAsia="Cambria"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76BA3"/>
    <w:multiLevelType w:val="hybridMultilevel"/>
    <w:tmpl w:val="18B8D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451FED"/>
    <w:multiLevelType w:val="hybridMultilevel"/>
    <w:tmpl w:val="11845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3624A3"/>
    <w:multiLevelType w:val="hybridMultilevel"/>
    <w:tmpl w:val="94E49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246E16"/>
    <w:multiLevelType w:val="hybridMultilevel"/>
    <w:tmpl w:val="4384B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A3680E"/>
    <w:multiLevelType w:val="hybridMultilevel"/>
    <w:tmpl w:val="54080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0604190">
    <w:abstractNumId w:val="19"/>
  </w:num>
  <w:num w:numId="2" w16cid:durableId="1456217558">
    <w:abstractNumId w:val="29"/>
  </w:num>
  <w:num w:numId="3" w16cid:durableId="1803574363">
    <w:abstractNumId w:val="31"/>
  </w:num>
  <w:num w:numId="4" w16cid:durableId="1661150236">
    <w:abstractNumId w:val="20"/>
  </w:num>
  <w:num w:numId="5" w16cid:durableId="840630696">
    <w:abstractNumId w:val="8"/>
  </w:num>
  <w:num w:numId="6" w16cid:durableId="1786457857">
    <w:abstractNumId w:val="16"/>
  </w:num>
  <w:num w:numId="7" w16cid:durableId="273442169">
    <w:abstractNumId w:val="22"/>
  </w:num>
  <w:num w:numId="8" w16cid:durableId="1239441314">
    <w:abstractNumId w:val="21"/>
  </w:num>
  <w:num w:numId="9" w16cid:durableId="1978216536">
    <w:abstractNumId w:val="17"/>
  </w:num>
  <w:num w:numId="10" w16cid:durableId="646931857">
    <w:abstractNumId w:val="5"/>
  </w:num>
  <w:num w:numId="11" w16cid:durableId="1137146208">
    <w:abstractNumId w:val="30"/>
  </w:num>
  <w:num w:numId="12" w16cid:durableId="1204052296">
    <w:abstractNumId w:val="24"/>
  </w:num>
  <w:num w:numId="13" w16cid:durableId="1106383001">
    <w:abstractNumId w:val="25"/>
  </w:num>
  <w:num w:numId="14" w16cid:durableId="793400410">
    <w:abstractNumId w:val="23"/>
  </w:num>
  <w:num w:numId="15" w16cid:durableId="170730696">
    <w:abstractNumId w:val="26"/>
  </w:num>
  <w:num w:numId="16" w16cid:durableId="1470124009">
    <w:abstractNumId w:val="27"/>
  </w:num>
  <w:num w:numId="17" w16cid:durableId="1016734673">
    <w:abstractNumId w:val="28"/>
  </w:num>
  <w:num w:numId="18" w16cid:durableId="1796101997">
    <w:abstractNumId w:val="4"/>
  </w:num>
  <w:num w:numId="19" w16cid:durableId="1924483445">
    <w:abstractNumId w:val="3"/>
  </w:num>
  <w:num w:numId="20" w16cid:durableId="2132623539">
    <w:abstractNumId w:val="2"/>
  </w:num>
  <w:num w:numId="21" w16cid:durableId="1909261134">
    <w:abstractNumId w:val="1"/>
  </w:num>
  <w:num w:numId="22" w16cid:durableId="339436213">
    <w:abstractNumId w:val="0"/>
  </w:num>
  <w:num w:numId="23" w16cid:durableId="2011565787">
    <w:abstractNumId w:val="15"/>
  </w:num>
  <w:num w:numId="24" w16cid:durableId="1718503265">
    <w:abstractNumId w:val="10"/>
  </w:num>
  <w:num w:numId="25" w16cid:durableId="1566640805">
    <w:abstractNumId w:val="32"/>
  </w:num>
  <w:num w:numId="26" w16cid:durableId="1682776230">
    <w:abstractNumId w:val="6"/>
  </w:num>
  <w:num w:numId="27" w16cid:durableId="171727418">
    <w:abstractNumId w:val="11"/>
  </w:num>
  <w:num w:numId="28" w16cid:durableId="59721267">
    <w:abstractNumId w:val="18"/>
  </w:num>
  <w:num w:numId="29" w16cid:durableId="1241137816">
    <w:abstractNumId w:val="9"/>
  </w:num>
  <w:num w:numId="30" w16cid:durableId="1044064140">
    <w:abstractNumId w:val="13"/>
  </w:num>
  <w:num w:numId="31" w16cid:durableId="1691376039">
    <w:abstractNumId w:val="14"/>
  </w:num>
  <w:num w:numId="32" w16cid:durableId="38822911">
    <w:abstractNumId w:val="12"/>
  </w:num>
  <w:num w:numId="33" w16cid:durableId="1821843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70D06"/>
    <w:rsid w:val="000A7B82"/>
    <w:rsid w:val="000B50CC"/>
    <w:rsid w:val="000C03BB"/>
    <w:rsid w:val="000C6A2D"/>
    <w:rsid w:val="000D3080"/>
    <w:rsid w:val="000E0582"/>
    <w:rsid w:val="0015409B"/>
    <w:rsid w:val="001B429B"/>
    <w:rsid w:val="00205D0C"/>
    <w:rsid w:val="00247E00"/>
    <w:rsid w:val="00267E2B"/>
    <w:rsid w:val="0027096C"/>
    <w:rsid w:val="002766CF"/>
    <w:rsid w:val="0028515F"/>
    <w:rsid w:val="002A5D13"/>
    <w:rsid w:val="002B029B"/>
    <w:rsid w:val="002B4419"/>
    <w:rsid w:val="002D45E4"/>
    <w:rsid w:val="002E4378"/>
    <w:rsid w:val="002F735B"/>
    <w:rsid w:val="002F7B4F"/>
    <w:rsid w:val="00314796"/>
    <w:rsid w:val="003676E3"/>
    <w:rsid w:val="00380EF0"/>
    <w:rsid w:val="003B1C00"/>
    <w:rsid w:val="003E3400"/>
    <w:rsid w:val="003E36DC"/>
    <w:rsid w:val="00433F51"/>
    <w:rsid w:val="004556ED"/>
    <w:rsid w:val="004639C0"/>
    <w:rsid w:val="004955F6"/>
    <w:rsid w:val="00496A7E"/>
    <w:rsid w:val="004A47F9"/>
    <w:rsid w:val="004B6C90"/>
    <w:rsid w:val="004C2396"/>
    <w:rsid w:val="004E16F9"/>
    <w:rsid w:val="0050689E"/>
    <w:rsid w:val="00551B88"/>
    <w:rsid w:val="00587D31"/>
    <w:rsid w:val="005A0C69"/>
    <w:rsid w:val="005A461E"/>
    <w:rsid w:val="005E1850"/>
    <w:rsid w:val="00606AB2"/>
    <w:rsid w:val="00614D0A"/>
    <w:rsid w:val="00653E72"/>
    <w:rsid w:val="00661981"/>
    <w:rsid w:val="0066792A"/>
    <w:rsid w:val="00672352"/>
    <w:rsid w:val="00696A92"/>
    <w:rsid w:val="006A5CFE"/>
    <w:rsid w:val="006E0BDB"/>
    <w:rsid w:val="006E18EF"/>
    <w:rsid w:val="006E2625"/>
    <w:rsid w:val="00782522"/>
    <w:rsid w:val="007A7CA7"/>
    <w:rsid w:val="007B0290"/>
    <w:rsid w:val="007C0AE5"/>
    <w:rsid w:val="007D0403"/>
    <w:rsid w:val="007E1A2E"/>
    <w:rsid w:val="007F1A2B"/>
    <w:rsid w:val="00811578"/>
    <w:rsid w:val="00831E73"/>
    <w:rsid w:val="00841FA8"/>
    <w:rsid w:val="00852BFB"/>
    <w:rsid w:val="008633AC"/>
    <w:rsid w:val="00887070"/>
    <w:rsid w:val="008B1F83"/>
    <w:rsid w:val="008D079C"/>
    <w:rsid w:val="008E62B1"/>
    <w:rsid w:val="00937B0B"/>
    <w:rsid w:val="009433D9"/>
    <w:rsid w:val="00983536"/>
    <w:rsid w:val="009B721F"/>
    <w:rsid w:val="009F084F"/>
    <w:rsid w:val="00A06C64"/>
    <w:rsid w:val="00A20C9E"/>
    <w:rsid w:val="00AB2A68"/>
    <w:rsid w:val="00AC136E"/>
    <w:rsid w:val="00AE6865"/>
    <w:rsid w:val="00B01FFE"/>
    <w:rsid w:val="00B42C1E"/>
    <w:rsid w:val="00B707AF"/>
    <w:rsid w:val="00B87D52"/>
    <w:rsid w:val="00BD71E9"/>
    <w:rsid w:val="00C135D1"/>
    <w:rsid w:val="00C310AF"/>
    <w:rsid w:val="00C67BEA"/>
    <w:rsid w:val="00C73E1A"/>
    <w:rsid w:val="00C94DCF"/>
    <w:rsid w:val="00CC38C8"/>
    <w:rsid w:val="00CE3BE0"/>
    <w:rsid w:val="00D545EC"/>
    <w:rsid w:val="00D86187"/>
    <w:rsid w:val="00DB146B"/>
    <w:rsid w:val="00DB32C7"/>
    <w:rsid w:val="00E113DA"/>
    <w:rsid w:val="00E2265E"/>
    <w:rsid w:val="00E8594F"/>
    <w:rsid w:val="00ED3984"/>
    <w:rsid w:val="00EF0BF1"/>
    <w:rsid w:val="00F0322F"/>
    <w:rsid w:val="00F20663"/>
    <w:rsid w:val="00F4469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5C08"/>
  <w15:chartTrackingRefBased/>
  <w15:docId w15:val="{80CA79C6-0582-41D0-B4DB-A10E5E20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6679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E16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3E3039-4ABB-4CE4-91AF-66D1F0A5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2026-02-08T23:25:00Z</dcterms:created>
  <dcterms:modified xsi:type="dcterms:W3CDTF">2026-02-08T23:25:00Z</dcterms:modified>
</cp:coreProperties>
</file>