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10060" w:type="dxa"/>
        <w:tblLayout w:type="fixed"/>
        <w:tblLook w:val="04A0" w:firstRow="1" w:lastRow="0" w:firstColumn="1" w:lastColumn="0" w:noHBand="0" w:noVBand="1"/>
      </w:tblPr>
      <w:tblGrid>
        <w:gridCol w:w="1413"/>
        <w:gridCol w:w="4394"/>
        <w:gridCol w:w="4253"/>
      </w:tblGrid>
      <w:tr w:rsidR="00D2212A" w14:paraId="346EE272" w14:textId="12AFD3DD" w:rsidTr="00BE08F7">
        <w:trPr>
          <w:trHeight w:val="330"/>
        </w:trPr>
        <w:tc>
          <w:tcPr>
            <w:tcW w:w="10060" w:type="dxa"/>
            <w:gridSpan w:val="3"/>
            <w:shd w:val="clear" w:color="auto" w:fill="9E95BD"/>
          </w:tcPr>
          <w:p w14:paraId="7E5F8220" w14:textId="7DBAE9C1" w:rsidR="00D2212A" w:rsidRPr="00D2212A" w:rsidRDefault="006A0045" w:rsidP="001511C7">
            <w:pPr>
              <w:pStyle w:val="TabelleHead"/>
              <w:tabs>
                <w:tab w:val="left" w:pos="1853"/>
                <w:tab w:val="center" w:pos="4922"/>
              </w:tabs>
              <w:rPr>
                <w:rFonts w:cstheme="minorHAnsi"/>
                <w:i w:val="0"/>
                <w:iCs w:val="0"/>
                <w:sz w:val="28"/>
                <w:szCs w:val="28"/>
                <w:lang w:val="de-DE"/>
              </w:rPr>
            </w:pPr>
            <w:r w:rsidRPr="006A0045">
              <w:rPr>
                <w:i w:val="0"/>
                <w:iCs w:val="0"/>
                <w:sz w:val="28"/>
                <w:szCs w:val="28"/>
                <w:lang w:val="de-DE"/>
              </w:rPr>
              <w:t>4 Tipps, wie Sie Humor bei Menschen mit fortgeschrittener Demenz einsetzen können</w:t>
            </w:r>
          </w:p>
        </w:tc>
      </w:tr>
      <w:tr w:rsidR="006A0045" w14:paraId="58AEC5F4" w14:textId="714AE448" w:rsidTr="00594838">
        <w:trPr>
          <w:trHeight w:val="454"/>
        </w:trPr>
        <w:tc>
          <w:tcPr>
            <w:tcW w:w="1413" w:type="dxa"/>
            <w:shd w:val="clear" w:color="auto" w:fill="EBE9F2"/>
          </w:tcPr>
          <w:p w14:paraId="0CC5DEB0" w14:textId="44D9E7D7" w:rsidR="006A0045" w:rsidRPr="00A87FBF" w:rsidRDefault="006A0045" w:rsidP="00FF3D47">
            <w:pPr>
              <w:pStyle w:val="Listenabsatz"/>
              <w:ind w:left="-26"/>
              <w:rPr>
                <w:b/>
                <w:bCs/>
                <w:lang w:val="de-DE"/>
              </w:rPr>
            </w:pPr>
            <w:r w:rsidRPr="00A87FBF">
              <w:rPr>
                <w:b/>
                <w:bCs/>
                <w:lang w:val="de-DE"/>
              </w:rPr>
              <w:t>Tipp</w:t>
            </w:r>
          </w:p>
        </w:tc>
        <w:tc>
          <w:tcPr>
            <w:tcW w:w="4394" w:type="dxa"/>
            <w:shd w:val="clear" w:color="auto" w:fill="EBE9F2"/>
          </w:tcPr>
          <w:p w14:paraId="35D97A68" w14:textId="4B95B372" w:rsidR="006A0045" w:rsidRPr="00A87FBF" w:rsidRDefault="006A0045" w:rsidP="00FF3D47">
            <w:pPr>
              <w:pStyle w:val="Listenabsatz"/>
              <w:ind w:left="-26"/>
              <w:rPr>
                <w:b/>
                <w:bCs/>
                <w:lang w:val="de-DE"/>
              </w:rPr>
            </w:pPr>
          </w:p>
        </w:tc>
        <w:tc>
          <w:tcPr>
            <w:tcW w:w="4253" w:type="dxa"/>
            <w:shd w:val="clear" w:color="auto" w:fill="EBE9F2"/>
          </w:tcPr>
          <w:p w14:paraId="6124A2ED" w14:textId="1F690E6A" w:rsidR="006A0045" w:rsidRPr="00A87FBF" w:rsidRDefault="00A87FBF" w:rsidP="00FF3D47">
            <w:pPr>
              <w:pStyle w:val="Listenabsatz"/>
              <w:ind w:left="-26"/>
              <w:rPr>
                <w:b/>
                <w:bCs/>
              </w:rPr>
            </w:pPr>
            <w:r>
              <w:rPr>
                <w:b/>
                <w:bCs/>
                <w:lang w:val="de-DE"/>
              </w:rPr>
              <w:t>Praxisbeispiel</w:t>
            </w:r>
          </w:p>
        </w:tc>
      </w:tr>
      <w:tr w:rsidR="006A0045" w14:paraId="071A31AD" w14:textId="4635CD64" w:rsidTr="00594838">
        <w:trPr>
          <w:trHeight w:val="454"/>
        </w:trPr>
        <w:tc>
          <w:tcPr>
            <w:tcW w:w="1413" w:type="dxa"/>
            <w:shd w:val="clear" w:color="auto" w:fill="EBE9F2"/>
          </w:tcPr>
          <w:p w14:paraId="71961ED8" w14:textId="0B764ACE" w:rsidR="006A0045" w:rsidRDefault="00A87FBF" w:rsidP="00033F40">
            <w:pPr>
              <w:pStyle w:val="Listenabsatz"/>
              <w:ind w:left="-26"/>
              <w:rPr>
                <w:rFonts w:cstheme="minorHAnsi"/>
                <w:b/>
                <w:bCs/>
                <w:color w:val="302750"/>
                <w:sz w:val="24"/>
                <w:szCs w:val="24"/>
              </w:rPr>
            </w:pPr>
            <w:r w:rsidRPr="00A87FBF">
              <w:rPr>
                <w:lang w:val="de-DE"/>
              </w:rPr>
              <w:t>Wissen aus der Biografie einbeziehen</w:t>
            </w:r>
          </w:p>
        </w:tc>
        <w:tc>
          <w:tcPr>
            <w:tcW w:w="4394" w:type="dxa"/>
            <w:shd w:val="clear" w:color="auto" w:fill="EBE9F2"/>
          </w:tcPr>
          <w:p w14:paraId="272A2C2C" w14:textId="0F7CF944" w:rsidR="006A0045" w:rsidRDefault="00594838" w:rsidP="00033F40">
            <w:pPr>
              <w:pStyle w:val="Listenabsatz"/>
              <w:ind w:left="-26"/>
              <w:rPr>
                <w:rFonts w:cstheme="minorHAnsi"/>
                <w:b/>
                <w:bCs/>
                <w:color w:val="302750"/>
                <w:sz w:val="24"/>
                <w:szCs w:val="24"/>
              </w:rPr>
            </w:pPr>
            <w:r w:rsidRPr="00594838">
              <w:rPr>
                <w:lang w:val="de-DE"/>
              </w:rPr>
              <w:t>Sie kennen die Vorlieben, Interessen und Erfahrungen Ihrer Pflegekunden. Nutzen Sie dieses Wissen, um humorvolle Aktivitäten, Geschichten oder Erinnerungen auszuwählen, die speziell auf die Interessen und den Hintergrund Ihres Pflegekunden abgestimmt sind.</w:t>
            </w:r>
          </w:p>
        </w:tc>
        <w:tc>
          <w:tcPr>
            <w:tcW w:w="4253" w:type="dxa"/>
            <w:shd w:val="clear" w:color="auto" w:fill="EBE9F2"/>
          </w:tcPr>
          <w:p w14:paraId="19155204" w14:textId="2765D6A7" w:rsidR="006A0045" w:rsidRDefault="00594838" w:rsidP="00033F40">
            <w:pPr>
              <w:pStyle w:val="Listenabsatz"/>
              <w:ind w:left="-26"/>
              <w:rPr>
                <w:rFonts w:cstheme="minorHAnsi"/>
                <w:b/>
                <w:bCs/>
                <w:color w:val="302750"/>
                <w:sz w:val="24"/>
                <w:szCs w:val="24"/>
              </w:rPr>
            </w:pPr>
            <w:r w:rsidRPr="00594838">
              <w:rPr>
                <w:lang w:val="de-DE"/>
              </w:rPr>
              <w:t xml:space="preserve">Frau H. feierte mit ihrem Mann gern und ausgelassen Karneval. Sie über legte sich jedes Jahr tolle Kostüme. Ihre Bezugspflegekraft Tanja nutzt dieses Wissen und hat Frau H. dadurch häufig zum Lächeln gebracht. Sie zeigt ihr </w:t>
            </w:r>
            <w:proofErr w:type="gramStart"/>
            <w:r w:rsidRPr="00594838">
              <w:rPr>
                <w:lang w:val="de-DE"/>
              </w:rPr>
              <w:t>regelmäßig Fotos</w:t>
            </w:r>
            <w:proofErr w:type="gramEnd"/>
            <w:r w:rsidRPr="00594838">
              <w:rPr>
                <w:lang w:val="de-DE"/>
              </w:rPr>
              <w:t xml:space="preserve"> von vergangenen Festen, spielt ab und zu ein Karnevalslied auf dem Handy und tanzt dazu vor Frau H., sie zeigt ihr ihre selbst geschneiderten Kostüme und nutzt kleine Requisiten wie Hüte oder Nasen, um Frau H. eine Freude zu bereiten.</w:t>
            </w:r>
          </w:p>
        </w:tc>
      </w:tr>
      <w:tr w:rsidR="006A0045" w14:paraId="1D1D5D05" w14:textId="5646579F" w:rsidTr="00594838">
        <w:trPr>
          <w:trHeight w:val="454"/>
        </w:trPr>
        <w:tc>
          <w:tcPr>
            <w:tcW w:w="1413" w:type="dxa"/>
            <w:shd w:val="clear" w:color="auto" w:fill="EBE9F2"/>
          </w:tcPr>
          <w:p w14:paraId="720E2431" w14:textId="6BDDC07F" w:rsidR="006A0045" w:rsidRDefault="00A87FBF" w:rsidP="009E28C7">
            <w:pPr>
              <w:pStyle w:val="Listenabsatz"/>
              <w:ind w:left="-26"/>
            </w:pPr>
            <w:r w:rsidRPr="00A87FBF">
              <w:rPr>
                <w:lang w:val="de-DE"/>
              </w:rPr>
              <w:t>Visuelle und auditive Reize nutzen</w:t>
            </w:r>
          </w:p>
        </w:tc>
        <w:tc>
          <w:tcPr>
            <w:tcW w:w="4394" w:type="dxa"/>
            <w:shd w:val="clear" w:color="auto" w:fill="EBE9F2"/>
          </w:tcPr>
          <w:p w14:paraId="238F51A1" w14:textId="05F1DCC2" w:rsidR="006A0045" w:rsidRPr="00897D67" w:rsidRDefault="00594838" w:rsidP="009E28C7">
            <w:pPr>
              <w:pStyle w:val="Listenabsatz"/>
              <w:ind w:left="-26"/>
            </w:pPr>
            <w:r w:rsidRPr="00594838">
              <w:rPr>
                <w:lang w:val="de-DE"/>
              </w:rPr>
              <w:t>Visuelle und auditive Reize wie lustige Bilder, Cartoons, Filme oder Musik können humor</w:t>
            </w:r>
            <w:r>
              <w:rPr>
                <w:lang w:val="de-DE"/>
              </w:rPr>
              <w:t>v</w:t>
            </w:r>
            <w:r w:rsidRPr="00594838">
              <w:rPr>
                <w:lang w:val="de-DE"/>
              </w:rPr>
              <w:t>olle Momente schaffen. Sie können humorvolle und animierte Inhalte verwenden, die die Sinne Ihrer bettlägerigen Pflegekunden aktivieren und zum Lachen anregen.</w:t>
            </w:r>
          </w:p>
        </w:tc>
        <w:tc>
          <w:tcPr>
            <w:tcW w:w="4253" w:type="dxa"/>
            <w:shd w:val="clear" w:color="auto" w:fill="EBE9F2"/>
          </w:tcPr>
          <w:p w14:paraId="639C4EE5" w14:textId="57C044FD" w:rsidR="006A0045" w:rsidRPr="00897D67" w:rsidRDefault="00594838" w:rsidP="009E28C7">
            <w:pPr>
              <w:pStyle w:val="Listenabsatz"/>
              <w:ind w:left="-26"/>
            </w:pPr>
            <w:r w:rsidRPr="00594838">
              <w:rPr>
                <w:lang w:val="de-DE"/>
              </w:rPr>
              <w:t>Betreuungskraft Martina bereitet ihre Aktivierungen stets sehr nach haltig vor. Die Gruppen- und Einzelaktivierungen haben meist ähnliche Themen und Inhalte. So hat sie keine doppelte Arbeit. Bettlägerigen Pflegekunden zeigt sie (falls diese passend sind) die gleichen Videos und Bilder wie mobilen Pflegekunden (z. B. Videos von lachenden Babys).</w:t>
            </w:r>
          </w:p>
        </w:tc>
      </w:tr>
      <w:tr w:rsidR="00A87FBF" w14:paraId="64FC5CF8" w14:textId="77777777" w:rsidTr="00594838">
        <w:trPr>
          <w:trHeight w:val="454"/>
        </w:trPr>
        <w:tc>
          <w:tcPr>
            <w:tcW w:w="1413" w:type="dxa"/>
            <w:shd w:val="clear" w:color="auto" w:fill="EBE9F2"/>
          </w:tcPr>
          <w:p w14:paraId="24A5F903" w14:textId="6EC5CC1A" w:rsidR="00A87FBF" w:rsidRPr="00A87FBF" w:rsidRDefault="00A87FBF" w:rsidP="009E28C7">
            <w:pPr>
              <w:pStyle w:val="Listenabsatz"/>
              <w:ind w:left="-26"/>
            </w:pPr>
            <w:r w:rsidRPr="00A87FBF">
              <w:rPr>
                <w:lang w:val="de-DE"/>
              </w:rPr>
              <w:t>Kreatives Erzählen und Vorlesen</w:t>
            </w:r>
          </w:p>
        </w:tc>
        <w:tc>
          <w:tcPr>
            <w:tcW w:w="4394" w:type="dxa"/>
            <w:shd w:val="clear" w:color="auto" w:fill="EBE9F2"/>
          </w:tcPr>
          <w:p w14:paraId="0E4E9CC5" w14:textId="12F37B9C" w:rsidR="00A87FBF" w:rsidRPr="008D38DF" w:rsidRDefault="00594838" w:rsidP="009E28C7">
            <w:pPr>
              <w:pStyle w:val="Listenabsatz"/>
              <w:ind w:left="-26"/>
            </w:pPr>
            <w:r w:rsidRPr="00594838">
              <w:rPr>
                <w:lang w:val="de-DE"/>
              </w:rPr>
              <w:t>Pflegepersonen können humorvolle Geschichten erfinden oder lustige Bücher vorlesen, die für bettlägerige Menschen mit Demenz geeignet sind. Sie können die Handlung betonen, die Stimme anpassen und Ge</w:t>
            </w:r>
            <w:r>
              <w:rPr>
                <w:lang w:val="de-DE"/>
              </w:rPr>
              <w:t>s</w:t>
            </w:r>
            <w:r w:rsidRPr="00594838">
              <w:rPr>
                <w:lang w:val="de-DE"/>
              </w:rPr>
              <w:t>ten verwenden, um den Humor zu verstärken und die Aufmerksamkeit zu erhöhen.</w:t>
            </w:r>
          </w:p>
        </w:tc>
        <w:tc>
          <w:tcPr>
            <w:tcW w:w="4253" w:type="dxa"/>
            <w:shd w:val="clear" w:color="auto" w:fill="EBE9F2"/>
          </w:tcPr>
          <w:p w14:paraId="78E0D946" w14:textId="5DD2DAAA" w:rsidR="00A87FBF" w:rsidRPr="00897D67" w:rsidRDefault="00594838" w:rsidP="009E28C7">
            <w:pPr>
              <w:pStyle w:val="Listenabsatz"/>
              <w:ind w:left="-26"/>
            </w:pPr>
            <w:r w:rsidRPr="00594838">
              <w:rPr>
                <w:lang w:val="de-DE"/>
              </w:rPr>
              <w:t>Pflegefachkraft Simon arbeitet gern mit Humor, da er festgestellt hat, dass er seine Pflegekunden mit Humor gut erreichen und mitreißen kann. Er bringt jedem Pflegekunden vor der Pflege ein „Geschenk“ mit: einen Witz aus seinem bereits bei allen bekannten Witzebuch oder eine lustige Geschichte, Anekdote oder Erinnerung. Das gemeinsame Lachen verbindet Simon und seine Pflegekunden, dadurch sind sie der Pflege gegenüber meist viel aufgeschlossener und starten mit guter Laune in den Tag.</w:t>
            </w:r>
          </w:p>
        </w:tc>
      </w:tr>
      <w:tr w:rsidR="00A87FBF" w14:paraId="6A5DEFB0" w14:textId="77777777" w:rsidTr="00594838">
        <w:trPr>
          <w:trHeight w:val="454"/>
        </w:trPr>
        <w:tc>
          <w:tcPr>
            <w:tcW w:w="1413" w:type="dxa"/>
            <w:shd w:val="clear" w:color="auto" w:fill="EBE9F2"/>
          </w:tcPr>
          <w:p w14:paraId="194AA72D" w14:textId="2EFFFC5D" w:rsidR="00A87FBF" w:rsidRPr="00A87FBF" w:rsidRDefault="00A87FBF" w:rsidP="009E28C7">
            <w:pPr>
              <w:pStyle w:val="Listenabsatz"/>
              <w:ind w:left="-26"/>
            </w:pPr>
            <w:r w:rsidRPr="00A87FBF">
              <w:rPr>
                <w:lang w:val="de-DE"/>
              </w:rPr>
              <w:t xml:space="preserve">In Aktivitäten und </w:t>
            </w:r>
            <w:proofErr w:type="spellStart"/>
            <w:r w:rsidRPr="00A87FBF">
              <w:rPr>
                <w:lang w:val="de-DE"/>
              </w:rPr>
              <w:t>Veran</w:t>
            </w:r>
            <w:proofErr w:type="spellEnd"/>
            <w:r>
              <w:rPr>
                <w:lang w:val="de-DE"/>
              </w:rPr>
              <w:t>-</w:t>
            </w:r>
            <w:r w:rsidRPr="00A87FBF">
              <w:rPr>
                <w:lang w:val="de-DE"/>
              </w:rPr>
              <w:t xml:space="preserve"> </w:t>
            </w:r>
            <w:proofErr w:type="spellStart"/>
            <w:r w:rsidRPr="00A87FBF">
              <w:rPr>
                <w:lang w:val="de-DE"/>
              </w:rPr>
              <w:lastRenderedPageBreak/>
              <w:t>staltungen</w:t>
            </w:r>
            <w:proofErr w:type="spellEnd"/>
            <w:r w:rsidRPr="00A87FBF">
              <w:rPr>
                <w:lang w:val="de-DE"/>
              </w:rPr>
              <w:t xml:space="preserve"> einbeziehen</w:t>
            </w:r>
          </w:p>
        </w:tc>
        <w:tc>
          <w:tcPr>
            <w:tcW w:w="4394" w:type="dxa"/>
            <w:shd w:val="clear" w:color="auto" w:fill="EBE9F2"/>
          </w:tcPr>
          <w:p w14:paraId="5FFC27B0" w14:textId="464B81D9" w:rsidR="00A87FBF" w:rsidRPr="008D38DF" w:rsidRDefault="00594838" w:rsidP="009E28C7">
            <w:pPr>
              <w:pStyle w:val="Listenabsatz"/>
              <w:ind w:left="-26"/>
            </w:pPr>
            <w:r w:rsidRPr="00594838">
              <w:rPr>
                <w:lang w:val="de-DE"/>
              </w:rPr>
              <w:lastRenderedPageBreak/>
              <w:t xml:space="preserve">Zu Veranstaltungen einladen und begleiten, Künstler und Künstlerinnen zu bettlägerigen Pflegekunden einladen, z. B. Clowns oder </w:t>
            </w:r>
            <w:r w:rsidRPr="00594838">
              <w:rPr>
                <w:lang w:val="de-DE"/>
              </w:rPr>
              <w:lastRenderedPageBreak/>
              <w:t>Lachyoga-Therapeuten.</w:t>
            </w:r>
          </w:p>
        </w:tc>
        <w:tc>
          <w:tcPr>
            <w:tcW w:w="4253" w:type="dxa"/>
            <w:shd w:val="clear" w:color="auto" w:fill="EBE9F2"/>
          </w:tcPr>
          <w:p w14:paraId="678B6992" w14:textId="7789019B" w:rsidR="00A87FBF" w:rsidRPr="00897D67" w:rsidRDefault="00921770" w:rsidP="009E28C7">
            <w:pPr>
              <w:pStyle w:val="Listenabsatz"/>
              <w:ind w:left="-26"/>
            </w:pPr>
            <w:r w:rsidRPr="00921770">
              <w:rPr>
                <w:lang w:val="de-DE"/>
              </w:rPr>
              <w:lastRenderedPageBreak/>
              <w:t xml:space="preserve">Wohnbereichsleitung Susann ist aufgefallen, dass viele nicht von den Clowns, die zu Besuch kommen, </w:t>
            </w:r>
            <w:r w:rsidRPr="00921770">
              <w:rPr>
                <w:lang w:val="de-DE"/>
              </w:rPr>
              <w:lastRenderedPageBreak/>
              <w:t>profitieren können, da sie meist in ihrem Zimmer sind. Susann hat nun eine kleine Liste von Kunden angefertigt, bei denen sie sich gut vorstellen kann, dass diese sich über einen Besuch von den Clowns freuen würden. Seitdem werden sie ebenfalls besucht.</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9"/>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6"/>
  </w:num>
  <w:num w:numId="12" w16cid:durableId="745537956">
    <w:abstractNumId w:val="15"/>
  </w:num>
  <w:num w:numId="13" w16cid:durableId="1462964536">
    <w:abstractNumId w:val="1"/>
  </w:num>
  <w:num w:numId="14" w16cid:durableId="5641672">
    <w:abstractNumId w:val="18"/>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7"/>
  </w:num>
  <w:num w:numId="22" w16cid:durableId="288246819">
    <w:abstractNumId w:val="7"/>
  </w:num>
  <w:num w:numId="23" w16cid:durableId="1605115838">
    <w:abstractNumId w:val="8"/>
  </w:num>
  <w:num w:numId="24" w16cid:durableId="12915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0F5B"/>
    <w:rsid w:val="00001A02"/>
    <w:rsid w:val="00004B3E"/>
    <w:rsid w:val="00005CC7"/>
    <w:rsid w:val="000174A1"/>
    <w:rsid w:val="00021521"/>
    <w:rsid w:val="000267EF"/>
    <w:rsid w:val="0002733F"/>
    <w:rsid w:val="000327A2"/>
    <w:rsid w:val="00033F40"/>
    <w:rsid w:val="000443F8"/>
    <w:rsid w:val="000501B4"/>
    <w:rsid w:val="0005136A"/>
    <w:rsid w:val="00052250"/>
    <w:rsid w:val="00064B77"/>
    <w:rsid w:val="000650C1"/>
    <w:rsid w:val="0006554D"/>
    <w:rsid w:val="00065A23"/>
    <w:rsid w:val="000661BC"/>
    <w:rsid w:val="00072897"/>
    <w:rsid w:val="00075A6C"/>
    <w:rsid w:val="00075B39"/>
    <w:rsid w:val="00087337"/>
    <w:rsid w:val="00090F95"/>
    <w:rsid w:val="00095262"/>
    <w:rsid w:val="00095529"/>
    <w:rsid w:val="00095F7E"/>
    <w:rsid w:val="000A3D47"/>
    <w:rsid w:val="000A6C3D"/>
    <w:rsid w:val="000B267A"/>
    <w:rsid w:val="000D0A47"/>
    <w:rsid w:val="000E3A9F"/>
    <w:rsid w:val="000F6448"/>
    <w:rsid w:val="00100E86"/>
    <w:rsid w:val="001014C4"/>
    <w:rsid w:val="00102EC5"/>
    <w:rsid w:val="0010700A"/>
    <w:rsid w:val="0012528F"/>
    <w:rsid w:val="00144291"/>
    <w:rsid w:val="0014574B"/>
    <w:rsid w:val="0014736B"/>
    <w:rsid w:val="001511C7"/>
    <w:rsid w:val="00154F2B"/>
    <w:rsid w:val="0016004F"/>
    <w:rsid w:val="00161350"/>
    <w:rsid w:val="00162517"/>
    <w:rsid w:val="00166E1D"/>
    <w:rsid w:val="0016720D"/>
    <w:rsid w:val="00182362"/>
    <w:rsid w:val="00186895"/>
    <w:rsid w:val="001900D8"/>
    <w:rsid w:val="001913BD"/>
    <w:rsid w:val="001A0B19"/>
    <w:rsid w:val="001B2E7C"/>
    <w:rsid w:val="001B55D9"/>
    <w:rsid w:val="001B72E2"/>
    <w:rsid w:val="001D6E00"/>
    <w:rsid w:val="001D7B8C"/>
    <w:rsid w:val="001E4FB8"/>
    <w:rsid w:val="001E66D0"/>
    <w:rsid w:val="001E7851"/>
    <w:rsid w:val="001F6876"/>
    <w:rsid w:val="001F72A9"/>
    <w:rsid w:val="0021600B"/>
    <w:rsid w:val="00223159"/>
    <w:rsid w:val="0022429B"/>
    <w:rsid w:val="00224727"/>
    <w:rsid w:val="00244604"/>
    <w:rsid w:val="002529BF"/>
    <w:rsid w:val="00262EA5"/>
    <w:rsid w:val="00271140"/>
    <w:rsid w:val="00275440"/>
    <w:rsid w:val="00290C86"/>
    <w:rsid w:val="00292A59"/>
    <w:rsid w:val="002959C5"/>
    <w:rsid w:val="002A0484"/>
    <w:rsid w:val="002B3087"/>
    <w:rsid w:val="002B6182"/>
    <w:rsid w:val="002B6BEE"/>
    <w:rsid w:val="002C1AA6"/>
    <w:rsid w:val="002C52B7"/>
    <w:rsid w:val="002D4CC1"/>
    <w:rsid w:val="002D599D"/>
    <w:rsid w:val="003005CA"/>
    <w:rsid w:val="00324D4E"/>
    <w:rsid w:val="00331B62"/>
    <w:rsid w:val="00333EEC"/>
    <w:rsid w:val="00337D6F"/>
    <w:rsid w:val="003405CA"/>
    <w:rsid w:val="00344697"/>
    <w:rsid w:val="00352804"/>
    <w:rsid w:val="003537E1"/>
    <w:rsid w:val="00353CD2"/>
    <w:rsid w:val="003605B3"/>
    <w:rsid w:val="00364524"/>
    <w:rsid w:val="003739AF"/>
    <w:rsid w:val="0039733A"/>
    <w:rsid w:val="003A2C6D"/>
    <w:rsid w:val="003B02EE"/>
    <w:rsid w:val="003B7490"/>
    <w:rsid w:val="003C1529"/>
    <w:rsid w:val="003D4940"/>
    <w:rsid w:val="003E4898"/>
    <w:rsid w:val="003F3CDF"/>
    <w:rsid w:val="003F7832"/>
    <w:rsid w:val="00401494"/>
    <w:rsid w:val="00401FCD"/>
    <w:rsid w:val="00407142"/>
    <w:rsid w:val="00407842"/>
    <w:rsid w:val="0040796A"/>
    <w:rsid w:val="00412101"/>
    <w:rsid w:val="004213D8"/>
    <w:rsid w:val="00421BA3"/>
    <w:rsid w:val="00422CCE"/>
    <w:rsid w:val="004342D5"/>
    <w:rsid w:val="00442F98"/>
    <w:rsid w:val="00451B15"/>
    <w:rsid w:val="004520D8"/>
    <w:rsid w:val="0045444F"/>
    <w:rsid w:val="00456842"/>
    <w:rsid w:val="0046286A"/>
    <w:rsid w:val="00464E7A"/>
    <w:rsid w:val="00467ECD"/>
    <w:rsid w:val="00487D32"/>
    <w:rsid w:val="0049455E"/>
    <w:rsid w:val="004A00F0"/>
    <w:rsid w:val="004A2601"/>
    <w:rsid w:val="004C37E7"/>
    <w:rsid w:val="004D7817"/>
    <w:rsid w:val="004E336B"/>
    <w:rsid w:val="004E517A"/>
    <w:rsid w:val="004F18D6"/>
    <w:rsid w:val="00506602"/>
    <w:rsid w:val="00543BE4"/>
    <w:rsid w:val="00551D09"/>
    <w:rsid w:val="005807BC"/>
    <w:rsid w:val="005909A1"/>
    <w:rsid w:val="00590D89"/>
    <w:rsid w:val="00594838"/>
    <w:rsid w:val="00597AFD"/>
    <w:rsid w:val="005A13B9"/>
    <w:rsid w:val="005A3E7E"/>
    <w:rsid w:val="005B246A"/>
    <w:rsid w:val="005B70DD"/>
    <w:rsid w:val="005D2C0F"/>
    <w:rsid w:val="005D2F8E"/>
    <w:rsid w:val="005D78E5"/>
    <w:rsid w:val="005E54A9"/>
    <w:rsid w:val="005F2724"/>
    <w:rsid w:val="005F2CBD"/>
    <w:rsid w:val="005F593F"/>
    <w:rsid w:val="006129D1"/>
    <w:rsid w:val="00613BFB"/>
    <w:rsid w:val="00616EDB"/>
    <w:rsid w:val="00626A19"/>
    <w:rsid w:val="00640E86"/>
    <w:rsid w:val="006438F5"/>
    <w:rsid w:val="00651F5B"/>
    <w:rsid w:val="0066760A"/>
    <w:rsid w:val="00676CAD"/>
    <w:rsid w:val="00690764"/>
    <w:rsid w:val="006A0045"/>
    <w:rsid w:val="006A11FE"/>
    <w:rsid w:val="006A1936"/>
    <w:rsid w:val="006A1C34"/>
    <w:rsid w:val="006A242B"/>
    <w:rsid w:val="006A3E26"/>
    <w:rsid w:val="006B6B78"/>
    <w:rsid w:val="006C26C1"/>
    <w:rsid w:val="006C4CDD"/>
    <w:rsid w:val="006D3CD4"/>
    <w:rsid w:val="006D5028"/>
    <w:rsid w:val="006E1BD3"/>
    <w:rsid w:val="006E3016"/>
    <w:rsid w:val="006F2734"/>
    <w:rsid w:val="007027EF"/>
    <w:rsid w:val="00715A26"/>
    <w:rsid w:val="007218AE"/>
    <w:rsid w:val="007272DE"/>
    <w:rsid w:val="007273F3"/>
    <w:rsid w:val="00727D60"/>
    <w:rsid w:val="00732FDA"/>
    <w:rsid w:val="00733B41"/>
    <w:rsid w:val="00733F3A"/>
    <w:rsid w:val="0074241F"/>
    <w:rsid w:val="0076017C"/>
    <w:rsid w:val="00766773"/>
    <w:rsid w:val="007752AE"/>
    <w:rsid w:val="0078607D"/>
    <w:rsid w:val="00786DEB"/>
    <w:rsid w:val="007936C4"/>
    <w:rsid w:val="007A3E0D"/>
    <w:rsid w:val="007B3223"/>
    <w:rsid w:val="007D7986"/>
    <w:rsid w:val="007E1AF2"/>
    <w:rsid w:val="007E1FE7"/>
    <w:rsid w:val="0080720F"/>
    <w:rsid w:val="00820AFF"/>
    <w:rsid w:val="00844FD9"/>
    <w:rsid w:val="00847F17"/>
    <w:rsid w:val="00850B6E"/>
    <w:rsid w:val="00863A45"/>
    <w:rsid w:val="008814C0"/>
    <w:rsid w:val="00885421"/>
    <w:rsid w:val="008A10EE"/>
    <w:rsid w:val="008A1D5C"/>
    <w:rsid w:val="008D1D01"/>
    <w:rsid w:val="008D38DF"/>
    <w:rsid w:val="008F457A"/>
    <w:rsid w:val="0090486F"/>
    <w:rsid w:val="009106FE"/>
    <w:rsid w:val="00914B61"/>
    <w:rsid w:val="00916F71"/>
    <w:rsid w:val="00920E4E"/>
    <w:rsid w:val="00921770"/>
    <w:rsid w:val="00922AA3"/>
    <w:rsid w:val="009262D4"/>
    <w:rsid w:val="00926C7A"/>
    <w:rsid w:val="00935879"/>
    <w:rsid w:val="00937B27"/>
    <w:rsid w:val="009422CB"/>
    <w:rsid w:val="00943FEB"/>
    <w:rsid w:val="00945DC8"/>
    <w:rsid w:val="00961612"/>
    <w:rsid w:val="00974630"/>
    <w:rsid w:val="00997AB3"/>
    <w:rsid w:val="009A3F1F"/>
    <w:rsid w:val="009D27B5"/>
    <w:rsid w:val="009D3A29"/>
    <w:rsid w:val="009D69CC"/>
    <w:rsid w:val="009E28C7"/>
    <w:rsid w:val="009F6BD3"/>
    <w:rsid w:val="00A009BA"/>
    <w:rsid w:val="00A06D08"/>
    <w:rsid w:val="00A104D7"/>
    <w:rsid w:val="00A157E9"/>
    <w:rsid w:val="00A2193B"/>
    <w:rsid w:val="00A24A18"/>
    <w:rsid w:val="00A35024"/>
    <w:rsid w:val="00A3620E"/>
    <w:rsid w:val="00A421EF"/>
    <w:rsid w:val="00A53691"/>
    <w:rsid w:val="00A615B8"/>
    <w:rsid w:val="00A64877"/>
    <w:rsid w:val="00A7645E"/>
    <w:rsid w:val="00A86B95"/>
    <w:rsid w:val="00A87FBF"/>
    <w:rsid w:val="00A92087"/>
    <w:rsid w:val="00A96EA3"/>
    <w:rsid w:val="00AA02C2"/>
    <w:rsid w:val="00AA5DAD"/>
    <w:rsid w:val="00AF753C"/>
    <w:rsid w:val="00B13114"/>
    <w:rsid w:val="00B137B3"/>
    <w:rsid w:val="00B270A3"/>
    <w:rsid w:val="00B343D7"/>
    <w:rsid w:val="00B3655F"/>
    <w:rsid w:val="00B441A0"/>
    <w:rsid w:val="00B52401"/>
    <w:rsid w:val="00B5489A"/>
    <w:rsid w:val="00B60522"/>
    <w:rsid w:val="00B66528"/>
    <w:rsid w:val="00B73740"/>
    <w:rsid w:val="00B86287"/>
    <w:rsid w:val="00B864F5"/>
    <w:rsid w:val="00B93EF1"/>
    <w:rsid w:val="00BB3BEB"/>
    <w:rsid w:val="00BC6C49"/>
    <w:rsid w:val="00BD7E76"/>
    <w:rsid w:val="00BE08F7"/>
    <w:rsid w:val="00BE2F5D"/>
    <w:rsid w:val="00BF0F28"/>
    <w:rsid w:val="00BF31FB"/>
    <w:rsid w:val="00C03562"/>
    <w:rsid w:val="00C14D3E"/>
    <w:rsid w:val="00C324E1"/>
    <w:rsid w:val="00C500C9"/>
    <w:rsid w:val="00C52DEE"/>
    <w:rsid w:val="00C5374F"/>
    <w:rsid w:val="00C63900"/>
    <w:rsid w:val="00C66DDA"/>
    <w:rsid w:val="00C90759"/>
    <w:rsid w:val="00C910EC"/>
    <w:rsid w:val="00C92156"/>
    <w:rsid w:val="00CA39DA"/>
    <w:rsid w:val="00CB1515"/>
    <w:rsid w:val="00CB37F1"/>
    <w:rsid w:val="00CC34C7"/>
    <w:rsid w:val="00CD1A98"/>
    <w:rsid w:val="00CE6C43"/>
    <w:rsid w:val="00CF1678"/>
    <w:rsid w:val="00CF46F6"/>
    <w:rsid w:val="00D02D50"/>
    <w:rsid w:val="00D05ADB"/>
    <w:rsid w:val="00D13C9E"/>
    <w:rsid w:val="00D2212A"/>
    <w:rsid w:val="00D23610"/>
    <w:rsid w:val="00D25CAF"/>
    <w:rsid w:val="00D4069A"/>
    <w:rsid w:val="00D52194"/>
    <w:rsid w:val="00D53FAE"/>
    <w:rsid w:val="00D543A7"/>
    <w:rsid w:val="00D55554"/>
    <w:rsid w:val="00D87987"/>
    <w:rsid w:val="00D9058A"/>
    <w:rsid w:val="00D93C9B"/>
    <w:rsid w:val="00D9660F"/>
    <w:rsid w:val="00DB18E4"/>
    <w:rsid w:val="00DC04D1"/>
    <w:rsid w:val="00DC182E"/>
    <w:rsid w:val="00DD371C"/>
    <w:rsid w:val="00DF6CBB"/>
    <w:rsid w:val="00DF797B"/>
    <w:rsid w:val="00DF7A70"/>
    <w:rsid w:val="00E05171"/>
    <w:rsid w:val="00E14821"/>
    <w:rsid w:val="00E15CAC"/>
    <w:rsid w:val="00E30BD3"/>
    <w:rsid w:val="00E37F04"/>
    <w:rsid w:val="00E44FDC"/>
    <w:rsid w:val="00E470B1"/>
    <w:rsid w:val="00E5084E"/>
    <w:rsid w:val="00E52939"/>
    <w:rsid w:val="00E54AF4"/>
    <w:rsid w:val="00E57A6C"/>
    <w:rsid w:val="00E64183"/>
    <w:rsid w:val="00E66D51"/>
    <w:rsid w:val="00E670FA"/>
    <w:rsid w:val="00E70001"/>
    <w:rsid w:val="00E70838"/>
    <w:rsid w:val="00E8099C"/>
    <w:rsid w:val="00E904D6"/>
    <w:rsid w:val="00E90521"/>
    <w:rsid w:val="00E94F80"/>
    <w:rsid w:val="00EA1424"/>
    <w:rsid w:val="00EB3680"/>
    <w:rsid w:val="00EB51F9"/>
    <w:rsid w:val="00EC31CB"/>
    <w:rsid w:val="00EC39FD"/>
    <w:rsid w:val="00EC6E3F"/>
    <w:rsid w:val="00EC7710"/>
    <w:rsid w:val="00ED0276"/>
    <w:rsid w:val="00EE34DE"/>
    <w:rsid w:val="00F044D8"/>
    <w:rsid w:val="00F047CD"/>
    <w:rsid w:val="00F156DC"/>
    <w:rsid w:val="00F15F95"/>
    <w:rsid w:val="00F17E07"/>
    <w:rsid w:val="00F255C3"/>
    <w:rsid w:val="00F31963"/>
    <w:rsid w:val="00F330FA"/>
    <w:rsid w:val="00F33E12"/>
    <w:rsid w:val="00F34FB9"/>
    <w:rsid w:val="00F3746C"/>
    <w:rsid w:val="00F639B9"/>
    <w:rsid w:val="00F6443F"/>
    <w:rsid w:val="00F65A3C"/>
    <w:rsid w:val="00F66225"/>
    <w:rsid w:val="00F70BC8"/>
    <w:rsid w:val="00F72AE6"/>
    <w:rsid w:val="00F8374B"/>
    <w:rsid w:val="00F90969"/>
    <w:rsid w:val="00F92B1F"/>
    <w:rsid w:val="00FA1E7D"/>
    <w:rsid w:val="00FA45C6"/>
    <w:rsid w:val="00FB0B52"/>
    <w:rsid w:val="00FC104B"/>
    <w:rsid w:val="00FC15F0"/>
    <w:rsid w:val="00FC6D97"/>
    <w:rsid w:val="00FC7049"/>
    <w:rsid w:val="00FE340A"/>
    <w:rsid w:val="00FE5C02"/>
    <w:rsid w:val="00FF2CBC"/>
    <w:rsid w:val="00FF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 w:type="character" w:styleId="Hyperlink">
    <w:name w:val="Hyperlink"/>
    <w:basedOn w:val="Absatz-Standardschriftart"/>
    <w:uiPriority w:val="99"/>
    <w:unhideWhenUsed/>
    <w:rsid w:val="00004B3E"/>
    <w:rPr>
      <w:color w:val="467886" w:themeColor="hyperlink"/>
      <w:u w:val="single"/>
    </w:rPr>
  </w:style>
  <w:style w:type="character" w:styleId="NichtaufgelsteErwhnung">
    <w:name w:val="Unresolved Mention"/>
    <w:basedOn w:val="Absatz-Standardschriftart"/>
    <w:uiPriority w:val="99"/>
    <w:semiHidden/>
    <w:unhideWhenUsed/>
    <w:rsid w:val="0000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2476</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2026-03-25T08:08:00Z</dcterms:created>
  <dcterms:modified xsi:type="dcterms:W3CDTF">2026-03-25T08:08:00Z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