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F0B6CEF" w14:textId="577A2483" w:rsidR="00A11165" w:rsidRDefault="007A7CA7" w:rsidP="00A11165">
      <w:pPr>
        <w:tabs>
          <w:tab w:val="left" w:pos="1836"/>
          <w:tab w:val="left" w:pos="2430"/>
          <w:tab w:val="left" w:pos="4185"/>
          <w:tab w:val="left" w:pos="6900"/>
        </w:tabs>
      </w:pPr>
      <w:r>
        <w:tab/>
      </w:r>
      <w:r w:rsidR="00897F98">
        <w:tab/>
      </w:r>
    </w:p>
    <w:p w14:paraId="7FE57DC9" w14:textId="77777777" w:rsidR="0026261B" w:rsidRPr="00D41E73" w:rsidRDefault="0026261B" w:rsidP="00A11165">
      <w:pPr>
        <w:tabs>
          <w:tab w:val="left" w:pos="1836"/>
          <w:tab w:val="left" w:pos="2430"/>
          <w:tab w:val="left" w:pos="4185"/>
          <w:tab w:val="left" w:pos="6900"/>
        </w:tabs>
      </w:pPr>
    </w:p>
    <w:tbl>
      <w:tblPr>
        <w:tblW w:w="11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9922"/>
      </w:tblGrid>
      <w:tr w:rsidR="00A11165" w:rsidRPr="00A11165" w14:paraId="2986B124" w14:textId="77777777" w:rsidTr="0026261B">
        <w:trPr>
          <w:jc w:val="center"/>
        </w:trPr>
        <w:tc>
          <w:tcPr>
            <w:tcW w:w="11328" w:type="dxa"/>
            <w:gridSpan w:val="2"/>
            <w:shd w:val="clear" w:color="auto" w:fill="911915"/>
          </w:tcPr>
          <w:p w14:paraId="12A6F160" w14:textId="3FC68046" w:rsidR="00A11165" w:rsidRPr="00A11165" w:rsidRDefault="0026261B" w:rsidP="00A11165">
            <w:pPr>
              <w:spacing w:before="120" w:after="120"/>
              <w:rPr>
                <w:rFonts w:ascii="Arial" w:hAnsi="Arial" w:cs="Arial"/>
                <w:b/>
                <w:color w:val="FFFFFF"/>
                <w:sz w:val="28"/>
                <w:szCs w:val="28"/>
              </w:rPr>
            </w:pPr>
            <w:r>
              <w:rPr>
                <w:rFonts w:ascii="Arial" w:hAnsi="Arial" w:cs="Arial"/>
                <w:b/>
                <w:color w:val="FFFFFF"/>
                <w:sz w:val="28"/>
                <w:szCs w:val="28"/>
              </w:rPr>
              <w:t xml:space="preserve">Übersicht: </w:t>
            </w:r>
            <w:r w:rsidRPr="0026261B">
              <w:rPr>
                <w:rFonts w:ascii="Arial" w:hAnsi="Arial" w:cs="Arial"/>
                <w:b/>
                <w:bCs/>
                <w:color w:val="FFFFFF"/>
                <w:sz w:val="28"/>
                <w:szCs w:val="28"/>
              </w:rPr>
              <w:t>Sinnesgarten – Düfte, Klänge und Geschmack</w:t>
            </w:r>
          </w:p>
        </w:tc>
      </w:tr>
      <w:tr w:rsidR="0026261B" w:rsidRPr="00A11165" w14:paraId="2E5D7257" w14:textId="77777777" w:rsidTr="0026261B">
        <w:trPr>
          <w:jc w:val="center"/>
        </w:trPr>
        <w:tc>
          <w:tcPr>
            <w:tcW w:w="1406" w:type="dxa"/>
            <w:shd w:val="clear" w:color="auto" w:fill="C1D9C9"/>
            <w:vAlign w:val="center"/>
          </w:tcPr>
          <w:p w14:paraId="4BB0665E" w14:textId="0CDC2DAD" w:rsidR="0026261B" w:rsidRPr="0026261B" w:rsidRDefault="0026261B" w:rsidP="0026261B">
            <w:pPr>
              <w:spacing w:before="120" w:after="120"/>
              <w:rPr>
                <w:rFonts w:ascii="Arial" w:hAnsi="Arial" w:cs="Arial"/>
                <w:b/>
              </w:rPr>
            </w:pPr>
            <w:r w:rsidRPr="0026261B">
              <w:rPr>
                <w:rFonts w:ascii="Arial" w:hAnsi="Arial" w:cs="Arial"/>
                <w:b/>
              </w:rPr>
              <w:t>Sinn</w:t>
            </w:r>
          </w:p>
        </w:tc>
        <w:tc>
          <w:tcPr>
            <w:tcW w:w="9922" w:type="dxa"/>
            <w:shd w:val="clear" w:color="auto" w:fill="C1D9C9"/>
            <w:vAlign w:val="center"/>
          </w:tcPr>
          <w:p w14:paraId="38A5092A" w14:textId="6C2AC022" w:rsidR="0026261B" w:rsidRPr="0026261B" w:rsidRDefault="0026261B" w:rsidP="0026261B">
            <w:pPr>
              <w:spacing w:before="120" w:after="120"/>
              <w:rPr>
                <w:rFonts w:ascii="Arial" w:hAnsi="Arial" w:cs="Arial"/>
                <w:b/>
              </w:rPr>
            </w:pPr>
            <w:r w:rsidRPr="0026261B">
              <w:rPr>
                <w:rFonts w:ascii="Arial" w:hAnsi="Arial" w:cs="Arial"/>
                <w:b/>
              </w:rPr>
              <w:t>Beschreibung</w:t>
            </w:r>
          </w:p>
        </w:tc>
      </w:tr>
      <w:tr w:rsidR="0026261B" w:rsidRPr="00A11165" w14:paraId="1882363E" w14:textId="77777777" w:rsidTr="0026261B">
        <w:trPr>
          <w:jc w:val="center"/>
        </w:trPr>
        <w:tc>
          <w:tcPr>
            <w:tcW w:w="1406" w:type="dxa"/>
            <w:vAlign w:val="center"/>
          </w:tcPr>
          <w:p w14:paraId="45DE18F8" w14:textId="27B97A16" w:rsidR="0026261B" w:rsidRPr="0026261B" w:rsidRDefault="0026261B" w:rsidP="0026261B">
            <w:pPr>
              <w:spacing w:before="120" w:after="120"/>
              <w:rPr>
                <w:rFonts w:ascii="Arial" w:hAnsi="Arial" w:cs="Arial"/>
                <w:bCs/>
              </w:rPr>
            </w:pPr>
            <w:r w:rsidRPr="0026261B">
              <w:rPr>
                <w:rFonts w:ascii="Arial" w:hAnsi="Arial" w:cs="Arial"/>
                <w:bCs/>
              </w:rPr>
              <w:t>Sehen</w:t>
            </w:r>
          </w:p>
        </w:tc>
        <w:tc>
          <w:tcPr>
            <w:tcW w:w="9922" w:type="dxa"/>
            <w:vAlign w:val="center"/>
          </w:tcPr>
          <w:p w14:paraId="23F210FB" w14:textId="118D6A0C" w:rsidR="0026261B" w:rsidRPr="0026261B" w:rsidRDefault="0026261B" w:rsidP="0026261B">
            <w:pPr>
              <w:spacing w:before="120" w:after="120"/>
              <w:rPr>
                <w:rFonts w:ascii="Arial" w:hAnsi="Arial" w:cs="Arial"/>
                <w:bCs/>
              </w:rPr>
            </w:pPr>
            <w:r w:rsidRPr="0026261B">
              <w:rPr>
                <w:rFonts w:ascii="Arial" w:hAnsi="Arial" w:cs="Arial"/>
                <w:bCs/>
              </w:rPr>
              <w:t>Das Beobachten von Wachstum und Vergehen, vom bunten Blühen, von Früchten, der Herbstfärbung und vom Verfall vermittelt vertraute Abläufe. Darüber hinaus ist die Beobachtung von Vögeln, die im Garten nisten, eine beglückende Tätigkeit. Vielleicht können Sie sogar Eichhörnchen oder Igel entdecken. Dafür sollten Sie geeignete Futter- oder Nistangebote bereitstellen: Nistkästen, Vogelhäuschen, Äpfel für die Igel, Nüsse für Eichhörnchen.</w:t>
            </w:r>
          </w:p>
        </w:tc>
      </w:tr>
      <w:tr w:rsidR="0026261B" w:rsidRPr="00A11165" w14:paraId="6DE0A44D" w14:textId="77777777" w:rsidTr="0026261B">
        <w:trPr>
          <w:jc w:val="center"/>
        </w:trPr>
        <w:tc>
          <w:tcPr>
            <w:tcW w:w="1406" w:type="dxa"/>
            <w:vAlign w:val="center"/>
          </w:tcPr>
          <w:p w14:paraId="15445587" w14:textId="5E0BFFE7" w:rsidR="0026261B" w:rsidRPr="0026261B" w:rsidRDefault="0026261B" w:rsidP="0026261B">
            <w:pPr>
              <w:spacing w:before="120" w:after="120"/>
              <w:rPr>
                <w:rFonts w:ascii="Arial" w:hAnsi="Arial" w:cs="Arial"/>
                <w:bCs/>
              </w:rPr>
            </w:pPr>
            <w:r w:rsidRPr="0026261B">
              <w:rPr>
                <w:rFonts w:ascii="Arial" w:hAnsi="Arial" w:cs="Arial"/>
                <w:bCs/>
              </w:rPr>
              <w:t>Riechen</w:t>
            </w:r>
          </w:p>
        </w:tc>
        <w:tc>
          <w:tcPr>
            <w:tcW w:w="9922" w:type="dxa"/>
            <w:vAlign w:val="center"/>
          </w:tcPr>
          <w:p w14:paraId="7991EA91" w14:textId="0D652A58" w:rsidR="0026261B" w:rsidRPr="0026261B" w:rsidRDefault="0026261B" w:rsidP="0026261B">
            <w:pPr>
              <w:spacing w:before="120" w:after="120"/>
              <w:rPr>
                <w:rFonts w:ascii="Arial" w:hAnsi="Arial" w:cs="Arial"/>
                <w:bCs/>
              </w:rPr>
            </w:pPr>
            <w:r w:rsidRPr="0026261B">
              <w:rPr>
                <w:rFonts w:ascii="Arial" w:hAnsi="Arial" w:cs="Arial"/>
                <w:bCs/>
              </w:rPr>
              <w:t xml:space="preserve">Der Duft eines Gartens bietet unterschiedlichste Nuancen. Er bietet verschiedene Dufteindrücke, die vertraute Erinnerungen ansprechen, z. B., wenn Sie Duftrosen oder Duftgeranien pflanzen, die speziell für ihren wunderschönen Duft gezüchtet wurden. Zur Begrünung von Mauern eignet sich etwa der weiße Jasmin. Auch Kräuter wie Basilikum, Rosmarin, Salbei oder Pfefferminze verströmen wunderbare Aromen. In gleicher Weise werden auch frisch gemähtes Gras oder reife Äpfel Erinnerungen wecken. Beim Arbeiten am Pflanztisch können aber auch weniger harmonische Gerüche wie etwa die der Tomaten oder </w:t>
            </w:r>
            <w:proofErr w:type="spellStart"/>
            <w:r w:rsidRPr="0026261B">
              <w:rPr>
                <w:rFonts w:ascii="Arial" w:hAnsi="Arial" w:cs="Arial"/>
                <w:bCs/>
              </w:rPr>
              <w:t>Tagetespflanzen</w:t>
            </w:r>
            <w:proofErr w:type="spellEnd"/>
            <w:r w:rsidRPr="0026261B">
              <w:rPr>
                <w:rFonts w:ascii="Arial" w:hAnsi="Arial" w:cs="Arial"/>
                <w:bCs/>
              </w:rPr>
              <w:t xml:space="preserve"> hinzukommen. Die Erde hat ebenfalls einen </w:t>
            </w:r>
            <w:proofErr w:type="gramStart"/>
            <w:r w:rsidRPr="0026261B">
              <w:rPr>
                <w:rFonts w:ascii="Arial" w:hAnsi="Arial" w:cs="Arial"/>
                <w:bCs/>
              </w:rPr>
              <w:t>ganz besonderen</w:t>
            </w:r>
            <w:proofErr w:type="gramEnd"/>
            <w:r w:rsidRPr="0026261B">
              <w:rPr>
                <w:rFonts w:ascii="Arial" w:hAnsi="Arial" w:cs="Arial"/>
                <w:bCs/>
              </w:rPr>
              <w:t xml:space="preserve"> Duft, und selbst der Geruch von Kompost kann beeindrucken, sogar wenn er nicht gut gepflegt ist.</w:t>
            </w:r>
          </w:p>
        </w:tc>
      </w:tr>
      <w:tr w:rsidR="0026261B" w:rsidRPr="00A11165" w14:paraId="36D4F90A" w14:textId="77777777" w:rsidTr="0026261B">
        <w:trPr>
          <w:jc w:val="center"/>
        </w:trPr>
        <w:tc>
          <w:tcPr>
            <w:tcW w:w="1406" w:type="dxa"/>
            <w:vAlign w:val="center"/>
          </w:tcPr>
          <w:p w14:paraId="69F57BA3" w14:textId="2362B586" w:rsidR="0026261B" w:rsidRPr="0026261B" w:rsidRDefault="0026261B" w:rsidP="0026261B">
            <w:pPr>
              <w:spacing w:before="120" w:after="120"/>
              <w:rPr>
                <w:rFonts w:ascii="Arial" w:hAnsi="Arial" w:cs="Arial"/>
                <w:bCs/>
              </w:rPr>
            </w:pPr>
            <w:r w:rsidRPr="0026261B">
              <w:rPr>
                <w:rFonts w:ascii="Arial" w:hAnsi="Arial" w:cs="Arial"/>
                <w:bCs/>
              </w:rPr>
              <w:t>Fühlen</w:t>
            </w:r>
          </w:p>
        </w:tc>
        <w:tc>
          <w:tcPr>
            <w:tcW w:w="9922" w:type="dxa"/>
            <w:vAlign w:val="center"/>
          </w:tcPr>
          <w:p w14:paraId="099511B5" w14:textId="1CDA94B2" w:rsidR="0026261B" w:rsidRPr="0026261B" w:rsidRDefault="0026261B" w:rsidP="0026261B">
            <w:pPr>
              <w:spacing w:before="120" w:after="120"/>
              <w:rPr>
                <w:rFonts w:ascii="Arial" w:hAnsi="Arial" w:cs="Arial"/>
                <w:bCs/>
              </w:rPr>
            </w:pPr>
            <w:r w:rsidRPr="0026261B">
              <w:rPr>
                <w:rFonts w:ascii="Arial" w:hAnsi="Arial" w:cs="Arial"/>
                <w:bCs/>
              </w:rPr>
              <w:t>Das „Begreifen“ stellt ein elementares Angebot des Sinnesgartens dar. Dieser bietet eine Vielzahl von Möglichkeiten, um Erfahrungen über den Tastsinn zu machen: glatt gehobeltes Holz oder Baumrinde und Zweige, Steine des Hochbeets, Pflanzen mit unterschiedlichen Blattoberflächen, etwa die rauen Blätter des immergrünen Schneeballs oder die weich behaarten Blätter des Woll-Ziests. Auf dem Arbeitstisch können Erde, Kiesel, Kastanien oder Moos ausgebreitet werden. Das Vergraben der Hände darin kann für viele Menschen ein ausgesprochen sinnliches Erlebnis sein. Wasser ist ein ebenfalls sehr wichtiges Element in einem Sinnesgarten. Sie können z. B. einen Quell- oder Sprudelstein so platzieren, dass auch Rollstuhlfahrer ihn erreichen können, um gegebenenfalls ihre Hand gefahrlos einzutauchen.</w:t>
            </w:r>
          </w:p>
        </w:tc>
      </w:tr>
      <w:tr w:rsidR="0026261B" w:rsidRPr="00A11165" w14:paraId="7F1A8EA0" w14:textId="77777777" w:rsidTr="0026261B">
        <w:trPr>
          <w:jc w:val="center"/>
        </w:trPr>
        <w:tc>
          <w:tcPr>
            <w:tcW w:w="1406" w:type="dxa"/>
            <w:vAlign w:val="center"/>
          </w:tcPr>
          <w:p w14:paraId="0979689C" w14:textId="38DE84F0" w:rsidR="0026261B" w:rsidRPr="0026261B" w:rsidRDefault="0026261B" w:rsidP="0026261B">
            <w:pPr>
              <w:spacing w:before="120" w:after="120"/>
              <w:rPr>
                <w:rFonts w:ascii="Arial" w:hAnsi="Arial" w:cs="Arial"/>
                <w:bCs/>
              </w:rPr>
            </w:pPr>
            <w:r w:rsidRPr="0026261B">
              <w:rPr>
                <w:rFonts w:ascii="Arial" w:hAnsi="Arial" w:cs="Arial"/>
                <w:bCs/>
              </w:rPr>
              <w:t>Hören</w:t>
            </w:r>
          </w:p>
        </w:tc>
        <w:tc>
          <w:tcPr>
            <w:tcW w:w="9922" w:type="dxa"/>
            <w:vAlign w:val="center"/>
          </w:tcPr>
          <w:p w14:paraId="11AEEF2F" w14:textId="4236B6A5" w:rsidR="0026261B" w:rsidRPr="0026261B" w:rsidRDefault="0026261B" w:rsidP="0026261B">
            <w:pPr>
              <w:spacing w:before="120" w:after="120"/>
              <w:rPr>
                <w:rFonts w:ascii="Arial" w:hAnsi="Arial" w:cs="Arial"/>
                <w:bCs/>
              </w:rPr>
            </w:pPr>
            <w:r w:rsidRPr="0026261B">
              <w:rPr>
                <w:rFonts w:ascii="Arial" w:hAnsi="Arial" w:cs="Arial"/>
                <w:bCs/>
              </w:rPr>
              <w:t xml:space="preserve">Der Aufenthalt im Freien ist auch in puncto Geräuschwahrnehmungen </w:t>
            </w:r>
            <w:proofErr w:type="gramStart"/>
            <w:r w:rsidRPr="0026261B">
              <w:rPr>
                <w:rFonts w:ascii="Arial" w:hAnsi="Arial" w:cs="Arial"/>
                <w:bCs/>
              </w:rPr>
              <w:t>lohnenswert</w:t>
            </w:r>
            <w:proofErr w:type="gramEnd"/>
            <w:r w:rsidRPr="0026261B">
              <w:rPr>
                <w:rFonts w:ascii="Arial" w:hAnsi="Arial" w:cs="Arial"/>
                <w:bCs/>
              </w:rPr>
              <w:t>. Wenn der Wind weht, ist das Rascheln von Blättern zu hören, möglicherweise das Knarzen von Ästen. Vögel zwitschern und erfreuen mit ihrem Gesang – möglicherweise kann einer Ihrer Pflegekunden noch Vogelstimmen erkennen und zuordnen? Zusätzlich können zart klingende Windspiele in den Ästen oder an Sitzüberdachungen aufgehängt werden. Eine größere, aber hübsche Anschaffung ist auch eine Holzharfe, die vom Wind oder durch eigene Aktivität mit den Händen oder einem Klöppel angestoßen werden kann. Das Plätschern von Wasser wirkt beruhigend. Ein Quellstein, Wasser</w:t>
            </w:r>
            <w:r>
              <w:rPr>
                <w:rFonts w:ascii="Arial" w:hAnsi="Arial" w:cs="Arial"/>
                <w:bCs/>
              </w:rPr>
              <w:t>-</w:t>
            </w:r>
            <w:r w:rsidRPr="0026261B">
              <w:rPr>
                <w:rFonts w:ascii="Arial" w:hAnsi="Arial" w:cs="Arial"/>
                <w:bCs/>
              </w:rPr>
              <w:t>spiele oder leise rinnende Brunneneinläufe, etwa ein Kreislauf aus einem Pumpenschwengel in einen Bottich, binden die Aufmerksamkeit. Setzen Sie diese Akzente möglichst bei einer Sitz</w:t>
            </w:r>
            <w:r>
              <w:rPr>
                <w:rFonts w:ascii="Arial" w:hAnsi="Arial" w:cs="Arial"/>
                <w:bCs/>
              </w:rPr>
              <w:t>-</w:t>
            </w:r>
            <w:r w:rsidRPr="0026261B">
              <w:rPr>
                <w:rFonts w:ascii="Arial" w:hAnsi="Arial" w:cs="Arial"/>
                <w:bCs/>
              </w:rPr>
              <w:t>gelegenheit, die auch Schatten spendet, sodass die Besucher sich ohne Hast aufhalten können.</w:t>
            </w:r>
          </w:p>
        </w:tc>
      </w:tr>
      <w:tr w:rsidR="0026261B" w:rsidRPr="00A11165" w14:paraId="2E8B8BE1" w14:textId="77777777" w:rsidTr="0026261B">
        <w:trPr>
          <w:jc w:val="center"/>
        </w:trPr>
        <w:tc>
          <w:tcPr>
            <w:tcW w:w="1406" w:type="dxa"/>
            <w:vAlign w:val="center"/>
          </w:tcPr>
          <w:p w14:paraId="42665F64" w14:textId="3A82044A" w:rsidR="0026261B" w:rsidRPr="0026261B" w:rsidRDefault="0026261B" w:rsidP="0026261B">
            <w:pPr>
              <w:spacing w:before="120" w:after="120"/>
              <w:rPr>
                <w:rFonts w:ascii="Arial" w:hAnsi="Arial" w:cs="Arial"/>
                <w:bCs/>
              </w:rPr>
            </w:pPr>
            <w:r w:rsidRPr="0026261B">
              <w:rPr>
                <w:rFonts w:ascii="Arial" w:hAnsi="Arial" w:cs="Arial"/>
                <w:bCs/>
              </w:rPr>
              <w:t>Schmecken</w:t>
            </w:r>
          </w:p>
        </w:tc>
        <w:tc>
          <w:tcPr>
            <w:tcW w:w="9922" w:type="dxa"/>
            <w:vAlign w:val="center"/>
          </w:tcPr>
          <w:p w14:paraId="6C66605C" w14:textId="3770AC15" w:rsidR="0026261B" w:rsidRPr="0026261B" w:rsidRDefault="0026261B" w:rsidP="0026261B">
            <w:pPr>
              <w:spacing w:before="120" w:after="120"/>
              <w:rPr>
                <w:rFonts w:ascii="Arial" w:hAnsi="Arial" w:cs="Arial"/>
                <w:bCs/>
              </w:rPr>
            </w:pPr>
            <w:r w:rsidRPr="0026261B">
              <w:rPr>
                <w:rFonts w:ascii="Arial" w:hAnsi="Arial" w:cs="Arial"/>
                <w:bCs/>
              </w:rPr>
              <w:t>Im Sinnesgarten empfiehlt es sich, auch Obst- und Gemüsepflanzen zu beherbergen. So bietet ein Spaziergang dort immer die Möglichkeit zum Naschen: Walderdbeeren vom Hochbeet, Himbeeren, dornenlose Brombeeren vom Spalier oder auch Tomaten können nebenher probiert werden. Entscheidend ist hier, dass Sie keine stark giftigen Pflanzen im Garten haben, damit das Essen z. B. von Beerenfrüchten gefahrlos ist. Keinesfalls sollten Sie daher z. B. Eibe, Seidelbast, Pfaffenhütchen, Stechpalme, Fingerhut, Goldregen oder Eisenhut pflanzen. Eine vollständige Übersicht finden Sie im Internet unter botanikus.de. Auch in Ihrer Gärtnerei kann man Sie dahingehend beraten.</w:t>
            </w:r>
          </w:p>
        </w:tc>
      </w:tr>
    </w:tbl>
    <w:p w14:paraId="5C1225D1" w14:textId="77777777" w:rsidR="0026261B" w:rsidRPr="00581B4B" w:rsidRDefault="0026261B" w:rsidP="00581B4B"/>
    <w:sectPr w:rsidR="0026261B" w:rsidRPr="00581B4B" w:rsidSect="0026261B">
      <w:headerReference w:type="default" r:id="rId7"/>
      <w:pgSz w:w="11906" w:h="16838" w:code="9"/>
      <w:pgMar w:top="-426"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4874" w14:textId="77777777" w:rsidR="00E114DD" w:rsidRDefault="00E114DD" w:rsidP="002A5D13">
      <w:pPr>
        <w:spacing w:after="0" w:line="240" w:lineRule="auto"/>
      </w:pPr>
      <w:r>
        <w:separator/>
      </w:r>
    </w:p>
  </w:endnote>
  <w:endnote w:type="continuationSeparator" w:id="0">
    <w:p w14:paraId="227FEA92" w14:textId="77777777" w:rsidR="00E114DD" w:rsidRDefault="00E114DD" w:rsidP="002A5D13">
      <w:pPr>
        <w:spacing w:after="0" w:line="240" w:lineRule="auto"/>
      </w:pPr>
      <w:r>
        <w:continuationSeparator/>
      </w:r>
    </w:p>
  </w:endnote>
  <w:endnote w:type="continuationNotice" w:id="1">
    <w:p w14:paraId="36B36249" w14:textId="77777777" w:rsidR="00E114DD" w:rsidRDefault="00E11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50AF" w14:textId="77777777" w:rsidR="00E114DD" w:rsidRDefault="00E114DD" w:rsidP="002A5D13">
      <w:pPr>
        <w:spacing w:after="0" w:line="240" w:lineRule="auto"/>
      </w:pPr>
      <w:r>
        <w:separator/>
      </w:r>
    </w:p>
  </w:footnote>
  <w:footnote w:type="continuationSeparator" w:id="0">
    <w:p w14:paraId="70992DF7" w14:textId="77777777" w:rsidR="00E114DD" w:rsidRDefault="00E114DD" w:rsidP="002A5D13">
      <w:pPr>
        <w:spacing w:after="0" w:line="240" w:lineRule="auto"/>
      </w:pPr>
      <w:r>
        <w:continuationSeparator/>
      </w:r>
    </w:p>
  </w:footnote>
  <w:footnote w:type="continuationNotice" w:id="1">
    <w:p w14:paraId="79A17620" w14:textId="77777777" w:rsidR="00E114DD" w:rsidRDefault="00E11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61" w:type="pct"/>
      <w:jc w:val="center"/>
      <w:tblCellMar>
        <w:top w:w="72" w:type="dxa"/>
        <w:left w:w="115" w:type="dxa"/>
        <w:bottom w:w="72" w:type="dxa"/>
        <w:right w:w="115" w:type="dxa"/>
      </w:tblCellMar>
      <w:tblLook w:val="04A0" w:firstRow="1" w:lastRow="0" w:firstColumn="1" w:lastColumn="0" w:noHBand="0" w:noVBand="1"/>
    </w:tblPr>
    <w:tblGrid>
      <w:gridCol w:w="1600"/>
      <w:gridCol w:w="9301"/>
    </w:tblGrid>
    <w:tr w:rsidR="002275DF" w14:paraId="49CE6CA0" w14:textId="77777777" w:rsidTr="008F5D38">
      <w:trPr>
        <w:jc w:val="center"/>
      </w:trPr>
      <w:tc>
        <w:tcPr>
          <w:tcW w:w="734" w:type="pct"/>
          <w:tcBorders>
            <w:bottom w:val="single" w:sz="4" w:space="0" w:color="auto"/>
          </w:tcBorders>
          <w:shd w:val="clear" w:color="auto" w:fill="6FA681"/>
          <w:vAlign w:val="center"/>
        </w:tcPr>
        <w:p w14:paraId="586644D7" w14:textId="77777777" w:rsidR="002275DF" w:rsidRDefault="002275DF" w:rsidP="002275DF">
          <w:pPr>
            <w:pStyle w:val="Kopfzeile"/>
            <w:jc w:val="center"/>
            <w:rPr>
              <w:b/>
              <w:color w:val="FFFFFF"/>
              <w:sz w:val="24"/>
            </w:rPr>
          </w:pPr>
          <w:r w:rsidRPr="001F58DF">
            <w:rPr>
              <w:b/>
              <w:color w:val="FFFFFF"/>
              <w:sz w:val="24"/>
            </w:rPr>
            <w:t xml:space="preserve">Ausgabe </w:t>
          </w:r>
        </w:p>
        <w:p w14:paraId="05B0B213" w14:textId="77777777" w:rsidR="002275DF" w:rsidRDefault="002275DF" w:rsidP="002275DF">
          <w:pPr>
            <w:pStyle w:val="Kopfzeile"/>
            <w:jc w:val="center"/>
            <w:rPr>
              <w:b/>
              <w:color w:val="FFFFFF"/>
              <w:sz w:val="24"/>
            </w:rPr>
          </w:pPr>
          <w:r w:rsidRPr="001F58DF">
            <w:rPr>
              <w:b/>
              <w:color w:val="FFFFFF"/>
              <w:sz w:val="24"/>
            </w:rPr>
            <w:t>0</w:t>
          </w:r>
          <w:r w:rsidR="00105927">
            <w:rPr>
              <w:b/>
              <w:color w:val="FFFFFF"/>
              <w:sz w:val="24"/>
            </w:rPr>
            <w:t>3</w:t>
          </w:r>
          <w:r>
            <w:rPr>
              <w:b/>
              <w:color w:val="FFFFFF"/>
              <w:sz w:val="24"/>
            </w:rPr>
            <w:t xml:space="preserve"> –</w:t>
          </w:r>
          <w:r w:rsidRPr="001F58DF">
            <w:rPr>
              <w:b/>
              <w:color w:val="FFFFFF"/>
              <w:sz w:val="24"/>
            </w:rPr>
            <w:t xml:space="preserve"> 20</w:t>
          </w:r>
          <w:r>
            <w:rPr>
              <w:b/>
              <w:color w:val="FFFFFF"/>
              <w:sz w:val="24"/>
            </w:rPr>
            <w:t>26</w:t>
          </w:r>
        </w:p>
        <w:p w14:paraId="666BD8E6" w14:textId="7A4B36B7" w:rsidR="00E24ACD" w:rsidRPr="001F58DF" w:rsidRDefault="00E24ACD" w:rsidP="002275DF">
          <w:pPr>
            <w:pStyle w:val="Kopfzeile"/>
            <w:jc w:val="center"/>
            <w:rPr>
              <w:b/>
              <w:color w:val="FFFFFF"/>
            </w:rPr>
          </w:pPr>
          <w:r>
            <w:rPr>
              <w:b/>
              <w:color w:val="FFFFFF"/>
              <w:sz w:val="24"/>
            </w:rPr>
            <w:t>SA</w:t>
          </w:r>
        </w:p>
      </w:tc>
      <w:tc>
        <w:tcPr>
          <w:tcW w:w="4266" w:type="pct"/>
          <w:tcBorders>
            <w:bottom w:val="single" w:sz="4" w:space="0" w:color="auto"/>
          </w:tcBorders>
          <w:vAlign w:val="bottom"/>
        </w:tcPr>
        <w:p w14:paraId="526CE5DE" w14:textId="4D581E48" w:rsidR="002275DF" w:rsidRPr="009E482B" w:rsidRDefault="002275DF" w:rsidP="002275DF">
          <w:pPr>
            <w:pStyle w:val="Kopfzeile"/>
            <w:jc w:val="center"/>
            <w:rPr>
              <w:rFonts w:ascii="Arial Rounded MT Bold" w:hAnsi="Arial Rounded MT Bold"/>
              <w:b/>
              <w:bCs/>
              <w:color w:val="911915"/>
              <w:spacing w:val="26"/>
              <w:sz w:val="60"/>
              <w:szCs w:val="60"/>
            </w:rPr>
          </w:pPr>
          <w:r w:rsidRPr="009E482B">
            <w:rPr>
              <w:rFonts w:ascii="Arial Rounded MT Bold" w:hAnsi="Arial Rounded MT Bold"/>
              <w:b/>
              <w:bCs/>
              <w:color w:val="911915"/>
              <w:sz w:val="60"/>
              <w:szCs w:val="60"/>
            </w:rPr>
            <w:t>K</w:t>
          </w:r>
          <w:r w:rsidR="00E114DD">
            <w:rPr>
              <w:rFonts w:ascii="Arial Rounded MT Bold" w:hAnsi="Arial Rounded MT Bold"/>
              <w:b/>
              <w:noProof/>
              <w:color w:val="911915"/>
              <w:sz w:val="60"/>
              <w:szCs w:val="60"/>
            </w:rPr>
            <w:pict w14:anchorId="5D92C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7" type="#_x0000_t75" style="width:17.25pt;height:17.25pt;visibility:visible;mso-wrap-style:square">
                <v:imagedata r:id="rId1" o:title=""/>
              </v:shape>
            </w:pict>
          </w:r>
          <w:r w:rsidRPr="009E482B">
            <w:rPr>
              <w:rFonts w:ascii="Arial Rounded MT Bold" w:hAnsi="Arial Rounded MT Bold"/>
              <w:b/>
              <w:bCs/>
              <w:color w:val="911915"/>
              <w:spacing w:val="26"/>
              <w:sz w:val="60"/>
              <w:szCs w:val="60"/>
            </w:rPr>
            <w:t>mpass Soziale Betreuung</w:t>
          </w:r>
        </w:p>
        <w:p w14:paraId="36BB4838" w14:textId="75DE8DE6" w:rsidR="002275DF" w:rsidRPr="007A7CA7" w:rsidRDefault="00E114DD" w:rsidP="002275DF">
          <w:pPr>
            <w:pStyle w:val="Kopfzeile"/>
            <w:jc w:val="center"/>
            <w:rPr>
              <w:color w:val="000000"/>
              <w:sz w:val="24"/>
            </w:rPr>
          </w:pPr>
          <w:r>
            <w:rPr>
              <w:noProof/>
              <w:color w:val="000000"/>
              <w:sz w:val="24"/>
            </w:rPr>
            <w:pict w14:anchorId="6BE3411C">
              <v:shape id="Grafik 1" o:spid="_x0000_i1998" type="#_x0000_t75" style="width:392.25pt;height:12.75pt;visibility:visible;mso-wrap-style:square">
                <v:imagedata r:id="rId2" o:title=""/>
              </v:shape>
            </w:pict>
          </w:r>
        </w:p>
      </w:tc>
    </w:tr>
  </w:tbl>
  <w:p w14:paraId="01995688" w14:textId="2E7DE35F" w:rsidR="00D434EB" w:rsidRDefault="00D434EB" w:rsidP="00E378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973C48"/>
    <w:multiLevelType w:val="hybridMultilevel"/>
    <w:tmpl w:val="A5A41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6644D64"/>
    <w:multiLevelType w:val="hybridMultilevel"/>
    <w:tmpl w:val="4FFCF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556F8F"/>
    <w:multiLevelType w:val="hybridMultilevel"/>
    <w:tmpl w:val="28A21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B65545"/>
    <w:multiLevelType w:val="hybridMultilevel"/>
    <w:tmpl w:val="FFEE0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7583D"/>
    <w:multiLevelType w:val="multilevel"/>
    <w:tmpl w:val="AC8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25F96"/>
    <w:multiLevelType w:val="hybridMultilevel"/>
    <w:tmpl w:val="9594F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CC5863"/>
    <w:multiLevelType w:val="multilevel"/>
    <w:tmpl w:val="2A7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CA462F"/>
    <w:multiLevelType w:val="hybridMultilevel"/>
    <w:tmpl w:val="535C8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B702C7"/>
    <w:multiLevelType w:val="hybridMultilevel"/>
    <w:tmpl w:val="69C62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064093"/>
    <w:multiLevelType w:val="hybridMultilevel"/>
    <w:tmpl w:val="2C982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867BA6"/>
    <w:multiLevelType w:val="multilevel"/>
    <w:tmpl w:val="A27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4"/>
  </w:num>
  <w:num w:numId="2" w16cid:durableId="1695574210">
    <w:abstractNumId w:val="27"/>
  </w:num>
  <w:num w:numId="3" w16cid:durableId="785778711">
    <w:abstractNumId w:val="33"/>
  </w:num>
  <w:num w:numId="4" w16cid:durableId="2002196983">
    <w:abstractNumId w:val="17"/>
  </w:num>
  <w:num w:numId="5" w16cid:durableId="2066221202">
    <w:abstractNumId w:val="8"/>
  </w:num>
  <w:num w:numId="6" w16cid:durableId="1002851002">
    <w:abstractNumId w:val="12"/>
  </w:num>
  <w:num w:numId="7" w16cid:durableId="1026834761">
    <w:abstractNumId w:val="19"/>
  </w:num>
  <w:num w:numId="8" w16cid:durableId="721448139">
    <w:abstractNumId w:val="18"/>
  </w:num>
  <w:num w:numId="9" w16cid:durableId="1085146157">
    <w:abstractNumId w:val="13"/>
  </w:num>
  <w:num w:numId="10" w16cid:durableId="1907110565">
    <w:abstractNumId w:val="6"/>
  </w:num>
  <w:num w:numId="11" w16cid:durableId="1311591786">
    <w:abstractNumId w:val="28"/>
  </w:num>
  <w:num w:numId="12" w16cid:durableId="2011520305">
    <w:abstractNumId w:val="21"/>
  </w:num>
  <w:num w:numId="13" w16cid:durableId="1671524393">
    <w:abstractNumId w:val="22"/>
  </w:num>
  <w:num w:numId="14" w16cid:durableId="1266110594">
    <w:abstractNumId w:val="20"/>
  </w:num>
  <w:num w:numId="15" w16cid:durableId="391000802">
    <w:abstractNumId w:val="23"/>
  </w:num>
  <w:num w:numId="16" w16cid:durableId="1564825559">
    <w:abstractNumId w:val="24"/>
  </w:num>
  <w:num w:numId="17" w16cid:durableId="1671562194">
    <w:abstractNumId w:val="25"/>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9"/>
  </w:num>
  <w:num w:numId="24" w16cid:durableId="1535074606">
    <w:abstractNumId w:val="26"/>
  </w:num>
  <w:num w:numId="25" w16cid:durableId="1814178860">
    <w:abstractNumId w:val="32"/>
  </w:num>
  <w:num w:numId="26" w16cid:durableId="1571773830">
    <w:abstractNumId w:val="15"/>
  </w:num>
  <w:num w:numId="27" w16cid:durableId="1354266013">
    <w:abstractNumId w:val="29"/>
  </w:num>
  <w:num w:numId="28" w16cid:durableId="1283919786">
    <w:abstractNumId w:val="10"/>
  </w:num>
  <w:num w:numId="29" w16cid:durableId="1284580510">
    <w:abstractNumId w:val="7"/>
  </w:num>
  <w:num w:numId="30" w16cid:durableId="834757641">
    <w:abstractNumId w:val="31"/>
  </w:num>
  <w:num w:numId="31" w16cid:durableId="892813072">
    <w:abstractNumId w:val="5"/>
  </w:num>
  <w:num w:numId="32" w16cid:durableId="72238125">
    <w:abstractNumId w:val="11"/>
  </w:num>
  <w:num w:numId="33" w16cid:durableId="1727677813">
    <w:abstractNumId w:val="30"/>
  </w:num>
  <w:num w:numId="34" w16cid:durableId="1628392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647E9"/>
    <w:rsid w:val="00095CFC"/>
    <w:rsid w:val="000A7188"/>
    <w:rsid w:val="000B50CC"/>
    <w:rsid w:val="000B7A67"/>
    <w:rsid w:val="000C66D4"/>
    <w:rsid w:val="000C6A2D"/>
    <w:rsid w:val="00105927"/>
    <w:rsid w:val="0015409B"/>
    <w:rsid w:val="001B429B"/>
    <w:rsid w:val="001C16AA"/>
    <w:rsid w:val="001C43FF"/>
    <w:rsid w:val="001E1CCD"/>
    <w:rsid w:val="00205D0C"/>
    <w:rsid w:val="002154FF"/>
    <w:rsid w:val="002275DF"/>
    <w:rsid w:val="0026261B"/>
    <w:rsid w:val="00265BE4"/>
    <w:rsid w:val="0027096C"/>
    <w:rsid w:val="002766CF"/>
    <w:rsid w:val="0028515F"/>
    <w:rsid w:val="002A4F1B"/>
    <w:rsid w:val="002A5D13"/>
    <w:rsid w:val="002B029B"/>
    <w:rsid w:val="002B4419"/>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50689E"/>
    <w:rsid w:val="00540062"/>
    <w:rsid w:val="00551B88"/>
    <w:rsid w:val="00581B4B"/>
    <w:rsid w:val="00587D31"/>
    <w:rsid w:val="005B00BE"/>
    <w:rsid w:val="005B4234"/>
    <w:rsid w:val="00606A1D"/>
    <w:rsid w:val="006111CC"/>
    <w:rsid w:val="00614D0A"/>
    <w:rsid w:val="00653E72"/>
    <w:rsid w:val="00661981"/>
    <w:rsid w:val="00664661"/>
    <w:rsid w:val="0067731F"/>
    <w:rsid w:val="006A5CFE"/>
    <w:rsid w:val="006E18EF"/>
    <w:rsid w:val="006F3D97"/>
    <w:rsid w:val="00702EFF"/>
    <w:rsid w:val="00702F72"/>
    <w:rsid w:val="007721E7"/>
    <w:rsid w:val="007A7CA7"/>
    <w:rsid w:val="007B0290"/>
    <w:rsid w:val="007C0AE5"/>
    <w:rsid w:val="007E1A2E"/>
    <w:rsid w:val="00821B22"/>
    <w:rsid w:val="00841FA8"/>
    <w:rsid w:val="008522CE"/>
    <w:rsid w:val="00852BFB"/>
    <w:rsid w:val="008627AA"/>
    <w:rsid w:val="008633AC"/>
    <w:rsid w:val="00887070"/>
    <w:rsid w:val="00897F98"/>
    <w:rsid w:val="008A1E5C"/>
    <w:rsid w:val="008B1F83"/>
    <w:rsid w:val="008C0D29"/>
    <w:rsid w:val="008E62B1"/>
    <w:rsid w:val="00937B0B"/>
    <w:rsid w:val="00942E56"/>
    <w:rsid w:val="009433D9"/>
    <w:rsid w:val="009503FB"/>
    <w:rsid w:val="00983536"/>
    <w:rsid w:val="009855C0"/>
    <w:rsid w:val="009B721F"/>
    <w:rsid w:val="009E4F8C"/>
    <w:rsid w:val="009E6591"/>
    <w:rsid w:val="00A06C64"/>
    <w:rsid w:val="00A11165"/>
    <w:rsid w:val="00A438A7"/>
    <w:rsid w:val="00AC7582"/>
    <w:rsid w:val="00AF17D9"/>
    <w:rsid w:val="00B01FFE"/>
    <w:rsid w:val="00B560B1"/>
    <w:rsid w:val="00B5703F"/>
    <w:rsid w:val="00B707AF"/>
    <w:rsid w:val="00B75F0F"/>
    <w:rsid w:val="00B81586"/>
    <w:rsid w:val="00B87D52"/>
    <w:rsid w:val="00BD49AA"/>
    <w:rsid w:val="00BD71E9"/>
    <w:rsid w:val="00BE0E26"/>
    <w:rsid w:val="00BF1B9A"/>
    <w:rsid w:val="00C03FDA"/>
    <w:rsid w:val="00C310AF"/>
    <w:rsid w:val="00C73E1A"/>
    <w:rsid w:val="00C877B4"/>
    <w:rsid w:val="00C9289F"/>
    <w:rsid w:val="00CC38C8"/>
    <w:rsid w:val="00CE6389"/>
    <w:rsid w:val="00D25DD7"/>
    <w:rsid w:val="00D434EB"/>
    <w:rsid w:val="00D540DB"/>
    <w:rsid w:val="00D54579"/>
    <w:rsid w:val="00D56265"/>
    <w:rsid w:val="00D9199A"/>
    <w:rsid w:val="00DB32C7"/>
    <w:rsid w:val="00DC5947"/>
    <w:rsid w:val="00DE776A"/>
    <w:rsid w:val="00E01EC3"/>
    <w:rsid w:val="00E028D9"/>
    <w:rsid w:val="00E114DD"/>
    <w:rsid w:val="00E2265E"/>
    <w:rsid w:val="00E24ACD"/>
    <w:rsid w:val="00E36DD3"/>
    <w:rsid w:val="00E37880"/>
    <w:rsid w:val="00E448B1"/>
    <w:rsid w:val="00E734A2"/>
    <w:rsid w:val="00E74AD6"/>
    <w:rsid w:val="00F20663"/>
    <w:rsid w:val="00F2380D"/>
    <w:rsid w:val="00F57C10"/>
    <w:rsid w:val="00F9494C"/>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 w:type="table" w:styleId="Tabellenraster">
    <w:name w:val="Table Grid"/>
    <w:basedOn w:val="NormaleTabelle"/>
    <w:uiPriority w:val="39"/>
    <w:rsid w:val="00105927"/>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2026-03-05T13:48:00Z</dcterms:created>
  <dcterms:modified xsi:type="dcterms:W3CDTF">2026-03-05T13:48:00Z</dcterms:modified>
</cp:coreProperties>
</file>