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76595" w14:textId="77777777" w:rsidR="002A5D13" w:rsidRDefault="007A7CA7" w:rsidP="0094172F">
      <w:pPr>
        <w:tabs>
          <w:tab w:val="left" w:pos="5280"/>
          <w:tab w:val="right" w:pos="907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  <w:r w:rsidR="0094172F">
        <w:rPr>
          <w:b/>
          <w:noProof/>
          <w:lang w:eastAsia="de-DE"/>
        </w:rPr>
        <w:tab/>
      </w:r>
    </w:p>
    <w:p w14:paraId="61F0E915" w14:textId="77777777" w:rsidR="00C73E1A" w:rsidRDefault="007A7CA7" w:rsidP="00E353A3">
      <w:pPr>
        <w:tabs>
          <w:tab w:val="left" w:pos="1665"/>
          <w:tab w:val="left" w:pos="2430"/>
          <w:tab w:val="left" w:pos="4185"/>
          <w:tab w:val="left" w:pos="6900"/>
        </w:tabs>
      </w:pPr>
      <w:r>
        <w:tab/>
      </w:r>
      <w:r w:rsidR="00E353A3">
        <w:tab/>
      </w:r>
      <w:r>
        <w:tab/>
      </w:r>
      <w:r w:rsidR="00B707AF">
        <w:tab/>
      </w:r>
    </w:p>
    <w:p w14:paraId="14416161" w14:textId="43332382" w:rsidR="000367E8" w:rsidRPr="006B731A" w:rsidRDefault="006E18EF" w:rsidP="006B731A">
      <w:pPr>
        <w:tabs>
          <w:tab w:val="left" w:pos="2430"/>
        </w:tabs>
      </w:pPr>
      <w:r>
        <w:tab/>
      </w:r>
    </w:p>
    <w:p w14:paraId="2425D1BB" w14:textId="77777777" w:rsidR="006B731A" w:rsidRDefault="006B731A" w:rsidP="000367E8">
      <w:pPr>
        <w:spacing w:before="120" w:after="120"/>
        <w:rPr>
          <w:rFonts w:ascii="Arial" w:hAnsi="Arial" w:cs="Arial"/>
          <w:bCs/>
          <w:sz w:val="24"/>
          <w:szCs w:val="24"/>
        </w:rPr>
      </w:pPr>
    </w:p>
    <w:p w14:paraId="40B7D7AE" w14:textId="77777777" w:rsidR="006B731A" w:rsidRDefault="006B731A" w:rsidP="000367E8">
      <w:pPr>
        <w:spacing w:before="120" w:after="120"/>
        <w:rPr>
          <w:rFonts w:ascii="Arial" w:hAnsi="Arial" w:cs="Arial"/>
          <w:bCs/>
          <w:sz w:val="24"/>
          <w:szCs w:val="24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7"/>
        <w:gridCol w:w="2537"/>
        <w:gridCol w:w="3285"/>
        <w:gridCol w:w="2409"/>
      </w:tblGrid>
      <w:tr w:rsidR="006B731A" w:rsidRPr="006B731A" w14:paraId="1A6F11B0" w14:textId="77777777" w:rsidTr="00CB473C">
        <w:tblPrEx>
          <w:tblCellMar>
            <w:top w:w="0" w:type="dxa"/>
            <w:bottom w:w="0" w:type="dxa"/>
          </w:tblCellMar>
        </w:tblPrEx>
        <w:trPr>
          <w:trHeight w:val="136"/>
          <w:jc w:val="center"/>
        </w:trPr>
        <w:tc>
          <w:tcPr>
            <w:tcW w:w="10768" w:type="dxa"/>
            <w:gridSpan w:val="4"/>
            <w:shd w:val="clear" w:color="auto" w:fill="006793"/>
          </w:tcPr>
          <w:p w14:paraId="64BF500E" w14:textId="77777777" w:rsidR="006B731A" w:rsidRPr="006B731A" w:rsidRDefault="006B731A" w:rsidP="006B731A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6B731A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Übersicht: Konstellationen, Fristen und Ihre Pflichten </w:t>
            </w:r>
          </w:p>
        </w:tc>
      </w:tr>
      <w:tr w:rsidR="006B731A" w:rsidRPr="006B731A" w14:paraId="3D0F32FC" w14:textId="77777777" w:rsidTr="00CB473C">
        <w:tblPrEx>
          <w:tblCellMar>
            <w:top w:w="0" w:type="dxa"/>
            <w:bottom w:w="0" w:type="dxa"/>
          </w:tblCellMar>
        </w:tblPrEx>
        <w:trPr>
          <w:trHeight w:val="377"/>
          <w:jc w:val="center"/>
        </w:trPr>
        <w:tc>
          <w:tcPr>
            <w:tcW w:w="2537" w:type="dxa"/>
            <w:shd w:val="clear" w:color="auto" w:fill="FCCBA2"/>
          </w:tcPr>
          <w:p w14:paraId="3206564B" w14:textId="77777777" w:rsidR="006B731A" w:rsidRPr="006B731A" w:rsidRDefault="006B731A" w:rsidP="006B731A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6B731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Konstellation </w:t>
            </w:r>
          </w:p>
        </w:tc>
        <w:tc>
          <w:tcPr>
            <w:tcW w:w="2537" w:type="dxa"/>
            <w:shd w:val="clear" w:color="auto" w:fill="FCCBA2"/>
          </w:tcPr>
          <w:p w14:paraId="38294E6B" w14:textId="77777777" w:rsidR="006B731A" w:rsidRPr="006B731A" w:rsidRDefault="006B731A" w:rsidP="006B731A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6B731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Rechtsfolge und Übergangsfrist </w:t>
            </w:r>
          </w:p>
        </w:tc>
        <w:tc>
          <w:tcPr>
            <w:tcW w:w="3285" w:type="dxa"/>
            <w:shd w:val="clear" w:color="auto" w:fill="FCCBA2"/>
          </w:tcPr>
          <w:p w14:paraId="23B22A2D" w14:textId="77777777" w:rsidR="006B731A" w:rsidRPr="006B731A" w:rsidRDefault="006B731A" w:rsidP="006B731A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6B731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Darf die Pflegekraft vorzeitig wieder arbeiten? </w:t>
            </w:r>
          </w:p>
        </w:tc>
        <w:tc>
          <w:tcPr>
            <w:tcW w:w="2409" w:type="dxa"/>
            <w:shd w:val="clear" w:color="auto" w:fill="FCCBA2"/>
          </w:tcPr>
          <w:p w14:paraId="0508C8E2" w14:textId="77777777" w:rsidR="006B731A" w:rsidRPr="006B731A" w:rsidRDefault="006B731A" w:rsidP="006B731A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6B731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Ihre Pflichten als Arbeitgeber </w:t>
            </w:r>
          </w:p>
        </w:tc>
      </w:tr>
      <w:tr w:rsidR="006B731A" w:rsidRPr="006B731A" w14:paraId="662DF340" w14:textId="77777777" w:rsidTr="00CB473C">
        <w:tblPrEx>
          <w:tblCellMar>
            <w:top w:w="0" w:type="dxa"/>
            <w:bottom w:w="0" w:type="dxa"/>
          </w:tblCellMar>
        </w:tblPrEx>
        <w:trPr>
          <w:trHeight w:val="775"/>
          <w:jc w:val="center"/>
        </w:trPr>
        <w:tc>
          <w:tcPr>
            <w:tcW w:w="2537" w:type="dxa"/>
          </w:tcPr>
          <w:p w14:paraId="0B23BFD2" w14:textId="78D838E6" w:rsidR="006B731A" w:rsidRPr="006B731A" w:rsidRDefault="006B731A" w:rsidP="006B731A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6B731A">
              <w:rPr>
                <w:rFonts w:ascii="Arial" w:hAnsi="Arial" w:cs="Arial"/>
                <w:bCs/>
                <w:sz w:val="24"/>
                <w:szCs w:val="24"/>
              </w:rPr>
              <w:t>Pflegebedürftigkeit entfällt (z. B. Genesung/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6B731A">
              <w:rPr>
                <w:rFonts w:ascii="Arial" w:hAnsi="Arial" w:cs="Arial"/>
                <w:bCs/>
                <w:sz w:val="24"/>
                <w:szCs w:val="24"/>
              </w:rPr>
              <w:t xml:space="preserve">Wegfall Pflegebedürftigkeit). </w:t>
            </w:r>
          </w:p>
        </w:tc>
        <w:tc>
          <w:tcPr>
            <w:tcW w:w="2537" w:type="dxa"/>
          </w:tcPr>
          <w:p w14:paraId="75829FB2" w14:textId="77777777" w:rsidR="006B731A" w:rsidRPr="006B731A" w:rsidRDefault="006B731A" w:rsidP="006B731A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6B731A">
              <w:rPr>
                <w:rFonts w:ascii="Arial" w:hAnsi="Arial" w:cs="Arial"/>
                <w:bCs/>
                <w:sz w:val="24"/>
                <w:szCs w:val="24"/>
              </w:rPr>
              <w:t>Pflegezeit endet vorzeitig, jedoch erst mit Ablauf von 4 Wochen nach Eintritt der Ver</w:t>
            </w:r>
            <w:r w:rsidRPr="006B731A">
              <w:rPr>
                <w:rFonts w:ascii="Arial" w:hAnsi="Arial" w:cs="Arial"/>
                <w:bCs/>
                <w:sz w:val="24"/>
                <w:szCs w:val="24"/>
              </w:rPr>
              <w:softHyphen/>
              <w:t xml:space="preserve">änderung. Beschäftigte müssen Sie unverzüglich informieren. </w:t>
            </w:r>
          </w:p>
        </w:tc>
        <w:tc>
          <w:tcPr>
            <w:tcW w:w="3285" w:type="dxa"/>
          </w:tcPr>
          <w:p w14:paraId="2F3569A6" w14:textId="77777777" w:rsidR="006B731A" w:rsidRPr="006B731A" w:rsidRDefault="006B731A" w:rsidP="006B731A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6B731A">
              <w:rPr>
                <w:rFonts w:ascii="Arial" w:hAnsi="Arial" w:cs="Arial"/>
                <w:bCs/>
                <w:sz w:val="24"/>
                <w:szCs w:val="24"/>
              </w:rPr>
              <w:t>Nicht einseitig. Bis zum Ablauf der 4 Wochen besteht die Pflegezeit fort. Eine frühere Rück</w:t>
            </w:r>
            <w:r w:rsidRPr="006B731A">
              <w:rPr>
                <w:rFonts w:ascii="Arial" w:hAnsi="Arial" w:cs="Arial"/>
                <w:bCs/>
                <w:sz w:val="24"/>
                <w:szCs w:val="24"/>
              </w:rPr>
              <w:softHyphen/>
              <w:t xml:space="preserve">kehr ist nur mit Ihrer Zustimmung möglich. </w:t>
            </w:r>
          </w:p>
        </w:tc>
        <w:tc>
          <w:tcPr>
            <w:tcW w:w="2409" w:type="dxa"/>
          </w:tcPr>
          <w:p w14:paraId="2F22D40E" w14:textId="48674282" w:rsidR="006B731A" w:rsidRPr="006B731A" w:rsidRDefault="006B731A" w:rsidP="006B731A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6B731A">
              <w:rPr>
                <w:rFonts w:ascii="Arial" w:hAnsi="Arial" w:cs="Arial"/>
                <w:bCs/>
                <w:sz w:val="24"/>
                <w:szCs w:val="24"/>
              </w:rPr>
              <w:t>Mitteilung dokumentie</w:t>
            </w:r>
            <w:r w:rsidRPr="006B731A">
              <w:rPr>
                <w:rFonts w:ascii="Arial" w:hAnsi="Arial" w:cs="Arial"/>
                <w:bCs/>
                <w:sz w:val="24"/>
                <w:szCs w:val="24"/>
              </w:rPr>
              <w:softHyphen/>
              <w:t xml:space="preserve">ren, Enddatum (4-Wochen-Frist) berechnen, Rückkehrtermin planen, Dienstplan anpassen. </w:t>
            </w:r>
          </w:p>
        </w:tc>
      </w:tr>
      <w:tr w:rsidR="006B731A" w:rsidRPr="006B731A" w14:paraId="5DC2CBFF" w14:textId="77777777" w:rsidTr="00CB473C">
        <w:tblPrEx>
          <w:tblCellMar>
            <w:top w:w="0" w:type="dxa"/>
            <w:bottom w:w="0" w:type="dxa"/>
          </w:tblCellMar>
        </w:tblPrEx>
        <w:trPr>
          <w:trHeight w:val="905"/>
          <w:jc w:val="center"/>
        </w:trPr>
        <w:tc>
          <w:tcPr>
            <w:tcW w:w="2537" w:type="dxa"/>
          </w:tcPr>
          <w:p w14:paraId="0BD9DA1C" w14:textId="77777777" w:rsidR="006B731A" w:rsidRPr="006B731A" w:rsidRDefault="006B731A" w:rsidP="006B731A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6B731A">
              <w:rPr>
                <w:rFonts w:ascii="Arial" w:hAnsi="Arial" w:cs="Arial"/>
                <w:bCs/>
                <w:sz w:val="24"/>
                <w:szCs w:val="24"/>
              </w:rPr>
              <w:t>Pflege wird unmöglich oder unzumutbar (z. B. dauerhafte stationäre Versorgung, häusliche Betreuung organisa</w:t>
            </w:r>
            <w:r w:rsidRPr="006B731A">
              <w:rPr>
                <w:rFonts w:ascii="Arial" w:hAnsi="Arial" w:cs="Arial"/>
                <w:bCs/>
                <w:sz w:val="24"/>
                <w:szCs w:val="24"/>
              </w:rPr>
              <w:softHyphen/>
              <w:t xml:space="preserve">torisch nicht mehr leistbar). </w:t>
            </w:r>
          </w:p>
        </w:tc>
        <w:tc>
          <w:tcPr>
            <w:tcW w:w="2537" w:type="dxa"/>
          </w:tcPr>
          <w:p w14:paraId="3F912150" w14:textId="77777777" w:rsidR="006B731A" w:rsidRPr="006B731A" w:rsidRDefault="006B731A" w:rsidP="006B731A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6B731A">
              <w:rPr>
                <w:rFonts w:ascii="Arial" w:hAnsi="Arial" w:cs="Arial"/>
                <w:bCs/>
                <w:sz w:val="24"/>
                <w:szCs w:val="24"/>
              </w:rPr>
              <w:t>Pflegezeit endet vorzeitig, jedoch erst nach 4 Wochen ab Eintritt/Kenntnis der maßgeb</w:t>
            </w:r>
            <w:r w:rsidRPr="006B731A">
              <w:rPr>
                <w:rFonts w:ascii="Arial" w:hAnsi="Arial" w:cs="Arial"/>
                <w:bCs/>
                <w:sz w:val="24"/>
                <w:szCs w:val="24"/>
              </w:rPr>
              <w:softHyphen/>
              <w:t xml:space="preserve">lichen Umstände; unverzügliche Mitteilungspflicht. </w:t>
            </w:r>
          </w:p>
        </w:tc>
        <w:tc>
          <w:tcPr>
            <w:tcW w:w="3285" w:type="dxa"/>
          </w:tcPr>
          <w:p w14:paraId="3DB7DC4B" w14:textId="5EEEA990" w:rsidR="006B731A" w:rsidRPr="006B731A" w:rsidRDefault="006B731A" w:rsidP="006B731A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6B731A">
              <w:rPr>
                <w:rFonts w:ascii="Arial" w:hAnsi="Arial" w:cs="Arial"/>
                <w:bCs/>
                <w:sz w:val="24"/>
                <w:szCs w:val="24"/>
              </w:rPr>
              <w:t xml:space="preserve">Nicht einseitig. Frühere Rückkehr nur einvernehmlich. </w:t>
            </w:r>
          </w:p>
        </w:tc>
        <w:tc>
          <w:tcPr>
            <w:tcW w:w="2409" w:type="dxa"/>
          </w:tcPr>
          <w:p w14:paraId="518B081B" w14:textId="5670CB0D" w:rsidR="006B731A" w:rsidRPr="006B731A" w:rsidRDefault="006B731A" w:rsidP="006B731A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6B731A">
              <w:rPr>
                <w:rFonts w:ascii="Arial" w:hAnsi="Arial" w:cs="Arial"/>
                <w:bCs/>
                <w:sz w:val="24"/>
                <w:szCs w:val="24"/>
              </w:rPr>
              <w:t xml:space="preserve">Sachverhalt dokumentieren, Fristlauf festhalten, Rückkehrgespräch anbieten, Einsatz planen. </w:t>
            </w:r>
          </w:p>
        </w:tc>
      </w:tr>
      <w:tr w:rsidR="006B731A" w:rsidRPr="006B731A" w14:paraId="6DCA3F7B" w14:textId="77777777" w:rsidTr="00CB473C">
        <w:tblPrEx>
          <w:tblCellMar>
            <w:top w:w="0" w:type="dxa"/>
            <w:bottom w:w="0" w:type="dxa"/>
          </w:tblCellMar>
        </w:tblPrEx>
        <w:trPr>
          <w:trHeight w:val="645"/>
          <w:jc w:val="center"/>
        </w:trPr>
        <w:tc>
          <w:tcPr>
            <w:tcW w:w="2537" w:type="dxa"/>
          </w:tcPr>
          <w:p w14:paraId="1518EDD3" w14:textId="77777777" w:rsidR="006B731A" w:rsidRPr="006B731A" w:rsidRDefault="006B731A" w:rsidP="006B731A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6B731A">
              <w:rPr>
                <w:rFonts w:ascii="Arial" w:hAnsi="Arial" w:cs="Arial"/>
                <w:bCs/>
                <w:sz w:val="24"/>
                <w:szCs w:val="24"/>
              </w:rPr>
              <w:t xml:space="preserve">Tod des nahen Angehörigen </w:t>
            </w:r>
          </w:p>
        </w:tc>
        <w:tc>
          <w:tcPr>
            <w:tcW w:w="2537" w:type="dxa"/>
          </w:tcPr>
          <w:p w14:paraId="7868789D" w14:textId="77777777" w:rsidR="006B731A" w:rsidRPr="006B731A" w:rsidRDefault="006B731A" w:rsidP="006B731A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6B731A">
              <w:rPr>
                <w:rFonts w:ascii="Arial" w:hAnsi="Arial" w:cs="Arial"/>
                <w:bCs/>
                <w:sz w:val="24"/>
                <w:szCs w:val="24"/>
              </w:rPr>
              <w:t>Pflegezeit endet vorzeitig, aber erst 4 Wochen nach dem To</w:t>
            </w:r>
            <w:r w:rsidRPr="006B731A">
              <w:rPr>
                <w:rFonts w:ascii="Arial" w:hAnsi="Arial" w:cs="Arial"/>
                <w:bCs/>
                <w:sz w:val="24"/>
                <w:szCs w:val="24"/>
              </w:rPr>
              <w:softHyphen/>
              <w:t xml:space="preserve">desfall (Übergangsfrist). </w:t>
            </w:r>
          </w:p>
        </w:tc>
        <w:tc>
          <w:tcPr>
            <w:tcW w:w="3285" w:type="dxa"/>
          </w:tcPr>
          <w:p w14:paraId="5AE80B61" w14:textId="154A5013" w:rsidR="006B731A" w:rsidRPr="006B731A" w:rsidRDefault="006B731A" w:rsidP="006B731A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6B731A">
              <w:rPr>
                <w:rFonts w:ascii="Arial" w:hAnsi="Arial" w:cs="Arial"/>
                <w:bCs/>
                <w:sz w:val="24"/>
                <w:szCs w:val="24"/>
              </w:rPr>
              <w:t xml:space="preserve">Nicht einseitig. Rückkehr vor Ablauf der 4 Wochen nur mit Ihrer Zustimmung. </w:t>
            </w:r>
          </w:p>
        </w:tc>
        <w:tc>
          <w:tcPr>
            <w:tcW w:w="2409" w:type="dxa"/>
          </w:tcPr>
          <w:p w14:paraId="13097B42" w14:textId="6563A632" w:rsidR="006B731A" w:rsidRPr="006B731A" w:rsidRDefault="006B731A" w:rsidP="006B731A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6B731A">
              <w:rPr>
                <w:rFonts w:ascii="Arial" w:hAnsi="Arial" w:cs="Arial"/>
                <w:bCs/>
                <w:sz w:val="24"/>
                <w:szCs w:val="24"/>
              </w:rPr>
              <w:t xml:space="preserve">Todesfall-Mitteilung dokumentieren, 4-Wochen- Ende festlegen, Rückkehrtermin abstimmen, Teamplanung anpassen. </w:t>
            </w:r>
          </w:p>
        </w:tc>
      </w:tr>
      <w:tr w:rsidR="006B731A" w:rsidRPr="006B731A" w14:paraId="1DCCD899" w14:textId="77777777" w:rsidTr="00CB473C">
        <w:tblPrEx>
          <w:tblCellMar>
            <w:top w:w="0" w:type="dxa"/>
            <w:bottom w:w="0" w:type="dxa"/>
          </w:tblCellMar>
        </w:tblPrEx>
        <w:trPr>
          <w:trHeight w:val="515"/>
          <w:jc w:val="center"/>
        </w:trPr>
        <w:tc>
          <w:tcPr>
            <w:tcW w:w="2537" w:type="dxa"/>
          </w:tcPr>
          <w:p w14:paraId="02F24DD8" w14:textId="04EBF027" w:rsidR="006B731A" w:rsidRPr="006B731A" w:rsidRDefault="006B731A" w:rsidP="006B731A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6B731A">
              <w:rPr>
                <w:rFonts w:ascii="Arial" w:hAnsi="Arial" w:cs="Arial"/>
                <w:bCs/>
                <w:sz w:val="24"/>
                <w:szCs w:val="24"/>
              </w:rPr>
              <w:t>Sonstiger Wunsch der Pflegekraft, früher zu beenden (ohne Wegfall/ Unmöglichkeit/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6B731A">
              <w:rPr>
                <w:rFonts w:ascii="Arial" w:hAnsi="Arial" w:cs="Arial"/>
                <w:bCs/>
                <w:sz w:val="24"/>
                <w:szCs w:val="24"/>
              </w:rPr>
              <w:t xml:space="preserve">Tod) </w:t>
            </w:r>
          </w:p>
        </w:tc>
        <w:tc>
          <w:tcPr>
            <w:tcW w:w="2537" w:type="dxa"/>
          </w:tcPr>
          <w:p w14:paraId="24A10A32" w14:textId="77777777" w:rsidR="006B731A" w:rsidRPr="006B731A" w:rsidRDefault="006B731A" w:rsidP="006B731A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6B731A">
              <w:rPr>
                <w:rFonts w:ascii="Arial" w:hAnsi="Arial" w:cs="Arial"/>
                <w:bCs/>
                <w:sz w:val="24"/>
                <w:szCs w:val="24"/>
              </w:rPr>
              <w:t>Vorzeitige Beendigung nur mit Ihrer Zustimmung; ohne Zu</w:t>
            </w:r>
            <w:r w:rsidRPr="006B731A">
              <w:rPr>
                <w:rFonts w:ascii="Arial" w:hAnsi="Arial" w:cs="Arial"/>
                <w:bCs/>
                <w:sz w:val="24"/>
                <w:szCs w:val="24"/>
              </w:rPr>
              <w:softHyphen/>
              <w:t xml:space="preserve">stimmung läuft die Pflegezeit wie vereinbart weiter. </w:t>
            </w:r>
          </w:p>
        </w:tc>
        <w:tc>
          <w:tcPr>
            <w:tcW w:w="3285" w:type="dxa"/>
          </w:tcPr>
          <w:p w14:paraId="5110F8E1" w14:textId="3C6F4F84" w:rsidR="006B731A" w:rsidRPr="006B731A" w:rsidRDefault="006B731A" w:rsidP="006B731A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6B731A">
              <w:rPr>
                <w:rFonts w:ascii="Arial" w:hAnsi="Arial" w:cs="Arial"/>
                <w:bCs/>
                <w:sz w:val="24"/>
                <w:szCs w:val="24"/>
              </w:rPr>
              <w:t xml:space="preserve">Nur mit Ihrer Zustimmung. </w:t>
            </w:r>
          </w:p>
        </w:tc>
        <w:tc>
          <w:tcPr>
            <w:tcW w:w="2409" w:type="dxa"/>
          </w:tcPr>
          <w:p w14:paraId="1328C2FB" w14:textId="402A8964" w:rsidR="006B731A" w:rsidRPr="006B731A" w:rsidRDefault="006B731A" w:rsidP="006B731A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6B731A">
              <w:rPr>
                <w:rFonts w:ascii="Arial" w:hAnsi="Arial" w:cs="Arial"/>
                <w:bCs/>
                <w:sz w:val="24"/>
                <w:szCs w:val="24"/>
              </w:rPr>
              <w:t>Entscheidung zeitnah treffen, ggf. schriftlich bestätigen, dienstplanerisch umsetzen.</w:t>
            </w:r>
          </w:p>
        </w:tc>
      </w:tr>
    </w:tbl>
    <w:p w14:paraId="2FDE8A24" w14:textId="77777777" w:rsidR="006B731A" w:rsidRPr="000367E8" w:rsidRDefault="006B731A" w:rsidP="000367E8">
      <w:pPr>
        <w:spacing w:before="120" w:after="120"/>
        <w:rPr>
          <w:rFonts w:ascii="Arial" w:hAnsi="Arial" w:cs="Arial"/>
          <w:bCs/>
          <w:sz w:val="24"/>
          <w:szCs w:val="24"/>
        </w:rPr>
      </w:pPr>
    </w:p>
    <w:sectPr w:rsidR="006B731A" w:rsidRPr="000367E8" w:rsidSect="00496C3D">
      <w:headerReference w:type="default" r:id="rId9"/>
      <w:pgSz w:w="11906" w:h="16838" w:code="9"/>
      <w:pgMar w:top="-576" w:right="1418" w:bottom="284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9116E" w14:textId="77777777" w:rsidR="00BF2BB6" w:rsidRDefault="00BF2BB6" w:rsidP="002A5D13">
      <w:pPr>
        <w:spacing w:after="0" w:line="240" w:lineRule="auto"/>
      </w:pPr>
      <w:r>
        <w:separator/>
      </w:r>
    </w:p>
  </w:endnote>
  <w:endnote w:type="continuationSeparator" w:id="0">
    <w:p w14:paraId="12D83767" w14:textId="77777777" w:rsidR="00BF2BB6" w:rsidRDefault="00BF2BB6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1FCD4" w14:textId="77777777" w:rsidR="00BF2BB6" w:rsidRDefault="00BF2BB6" w:rsidP="002A5D13">
      <w:pPr>
        <w:spacing w:after="0" w:line="240" w:lineRule="auto"/>
      </w:pPr>
      <w:r>
        <w:separator/>
      </w:r>
    </w:p>
  </w:footnote>
  <w:footnote w:type="continuationSeparator" w:id="0">
    <w:p w14:paraId="68C6720C" w14:textId="77777777" w:rsidR="00BF2BB6" w:rsidRDefault="00BF2BB6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533" w:type="pct"/>
      <w:jc w:val="center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143"/>
      <w:gridCol w:w="6080"/>
    </w:tblGrid>
    <w:tr w:rsidR="00E26939" w14:paraId="50FE07F4" w14:textId="77777777" w:rsidTr="00E26939">
      <w:trPr>
        <w:trHeight w:val="778"/>
        <w:jc w:val="center"/>
      </w:trPr>
      <w:tc>
        <w:tcPr>
          <w:tcW w:w="1303" w:type="pct"/>
          <w:tcBorders>
            <w:bottom w:val="single" w:sz="4" w:space="0" w:color="auto"/>
          </w:tcBorders>
          <w:shd w:val="clear" w:color="auto" w:fill="006793"/>
          <w:vAlign w:val="center"/>
        </w:tcPr>
        <w:p w14:paraId="6ABA9FFE" w14:textId="3963BE79" w:rsidR="007A7CA7" w:rsidRPr="007A7CA7" w:rsidRDefault="009908DD" w:rsidP="00332CA1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AB1A45">
            <w:rPr>
              <w:b/>
              <w:color w:val="FFFFFF"/>
              <w:sz w:val="24"/>
            </w:rPr>
            <w:t>0</w:t>
          </w:r>
          <w:r w:rsidR="004B6A92">
            <w:rPr>
              <w:b/>
              <w:color w:val="FFFFFF"/>
              <w:sz w:val="24"/>
            </w:rPr>
            <w:t>5</w:t>
          </w:r>
          <w:r>
            <w:rPr>
              <w:b/>
              <w:color w:val="FFFFFF"/>
              <w:sz w:val="24"/>
            </w:rPr>
            <w:t xml:space="preserve"> </w:t>
          </w:r>
          <w:r w:rsidR="00472877">
            <w:rPr>
              <w:b/>
              <w:color w:val="FFFFFF"/>
              <w:sz w:val="24"/>
            </w:rPr>
            <w:t>–</w:t>
          </w:r>
          <w:r>
            <w:rPr>
              <w:b/>
              <w:color w:val="FFFFFF"/>
              <w:sz w:val="24"/>
            </w:rPr>
            <w:t xml:space="preserve"> 20</w:t>
          </w:r>
          <w:r w:rsidR="0066479A">
            <w:rPr>
              <w:b/>
              <w:color w:val="FFFFFF"/>
              <w:sz w:val="24"/>
            </w:rPr>
            <w:t>2</w:t>
          </w:r>
          <w:r w:rsidR="00F82C0D">
            <w:rPr>
              <w:b/>
              <w:color w:val="FFFFFF"/>
              <w:sz w:val="24"/>
            </w:rPr>
            <w:t>6</w:t>
          </w:r>
          <w:r w:rsidR="00472877">
            <w:rPr>
              <w:b/>
              <w:color w:val="FFFFFF"/>
              <w:sz w:val="24"/>
            </w:rPr>
            <w:t xml:space="preserve"> TH</w:t>
          </w:r>
        </w:p>
      </w:tc>
      <w:tc>
        <w:tcPr>
          <w:tcW w:w="3697" w:type="pct"/>
          <w:tcBorders>
            <w:bottom w:val="single" w:sz="4" w:space="0" w:color="auto"/>
          </w:tcBorders>
          <w:vAlign w:val="bottom"/>
        </w:tcPr>
        <w:p w14:paraId="44497443" w14:textId="1243A0FE" w:rsidR="008522CE" w:rsidRPr="00EC24AC" w:rsidRDefault="00E26939" w:rsidP="007A7CA7">
          <w:pPr>
            <w:pStyle w:val="Kopfzeile"/>
            <w:rPr>
              <w:b/>
              <w:bCs/>
              <w:color w:val="808080"/>
              <w:sz w:val="16"/>
            </w:rPr>
          </w:pPr>
          <w:r w:rsidRPr="00E26939">
            <w:rPr>
              <w:b/>
              <w:bCs/>
              <w:noProof/>
              <w:color w:val="808080"/>
              <w:sz w:val="16"/>
            </w:rPr>
            <w:drawing>
              <wp:inline distT="0" distB="0" distL="0" distR="0" wp14:anchorId="4783F488" wp14:editId="591378E4">
                <wp:extent cx="3714750" cy="883840"/>
                <wp:effectExtent l="0" t="0" r="0" b="0"/>
                <wp:docPr id="522481502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2481502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09616" cy="9064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ED1B152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8D73E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CD6C8D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28829C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9620D6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B4CEA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882266"/>
    <w:multiLevelType w:val="hybridMultilevel"/>
    <w:tmpl w:val="A2C295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C49E8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32009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7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550AC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368021475">
    <w:abstractNumId w:val="15"/>
  </w:num>
  <w:num w:numId="2" w16cid:durableId="1804158717">
    <w:abstractNumId w:val="27"/>
  </w:num>
  <w:num w:numId="3" w16cid:durableId="1548251974">
    <w:abstractNumId w:val="29"/>
  </w:num>
  <w:num w:numId="4" w16cid:durableId="869875702">
    <w:abstractNumId w:val="17"/>
  </w:num>
  <w:num w:numId="5" w16cid:durableId="1526597782">
    <w:abstractNumId w:val="11"/>
  </w:num>
  <w:num w:numId="6" w16cid:durableId="867765150">
    <w:abstractNumId w:val="13"/>
  </w:num>
  <w:num w:numId="7" w16cid:durableId="1798405097">
    <w:abstractNumId w:val="20"/>
  </w:num>
  <w:num w:numId="8" w16cid:durableId="388921494">
    <w:abstractNumId w:val="18"/>
  </w:num>
  <w:num w:numId="9" w16cid:durableId="1308784843">
    <w:abstractNumId w:val="14"/>
  </w:num>
  <w:num w:numId="10" w16cid:durableId="998121745">
    <w:abstractNumId w:val="9"/>
  </w:num>
  <w:num w:numId="11" w16cid:durableId="1808205416">
    <w:abstractNumId w:val="28"/>
  </w:num>
  <w:num w:numId="12" w16cid:durableId="210113988">
    <w:abstractNumId w:val="22"/>
  </w:num>
  <w:num w:numId="13" w16cid:durableId="1970042432">
    <w:abstractNumId w:val="23"/>
  </w:num>
  <w:num w:numId="14" w16cid:durableId="1035348882">
    <w:abstractNumId w:val="21"/>
  </w:num>
  <w:num w:numId="15" w16cid:durableId="300035607">
    <w:abstractNumId w:val="24"/>
  </w:num>
  <w:num w:numId="16" w16cid:durableId="978144461">
    <w:abstractNumId w:val="25"/>
  </w:num>
  <w:num w:numId="17" w16cid:durableId="638414688">
    <w:abstractNumId w:val="26"/>
  </w:num>
  <w:num w:numId="18" w16cid:durableId="1809593188">
    <w:abstractNumId w:val="8"/>
  </w:num>
  <w:num w:numId="19" w16cid:durableId="310256859">
    <w:abstractNumId w:val="7"/>
  </w:num>
  <w:num w:numId="20" w16cid:durableId="484276499">
    <w:abstractNumId w:val="6"/>
  </w:num>
  <w:num w:numId="21" w16cid:durableId="542445318">
    <w:abstractNumId w:val="5"/>
  </w:num>
  <w:num w:numId="22" w16cid:durableId="688532022">
    <w:abstractNumId w:val="4"/>
  </w:num>
  <w:num w:numId="23" w16cid:durableId="196507809">
    <w:abstractNumId w:val="1"/>
  </w:num>
  <w:num w:numId="24" w16cid:durableId="2019456317">
    <w:abstractNumId w:val="10"/>
  </w:num>
  <w:num w:numId="25" w16cid:durableId="2009015585">
    <w:abstractNumId w:val="0"/>
  </w:num>
  <w:num w:numId="26" w16cid:durableId="283737957">
    <w:abstractNumId w:val="16"/>
  </w:num>
  <w:num w:numId="27" w16cid:durableId="732653630">
    <w:abstractNumId w:val="19"/>
  </w:num>
  <w:num w:numId="28" w16cid:durableId="1352755283">
    <w:abstractNumId w:val="30"/>
  </w:num>
  <w:num w:numId="29" w16cid:durableId="285042464">
    <w:abstractNumId w:val="2"/>
  </w:num>
  <w:num w:numId="30" w16cid:durableId="1918978133">
    <w:abstractNumId w:val="3"/>
  </w:num>
  <w:num w:numId="31" w16cid:durableId="17549366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367E8"/>
    <w:rsid w:val="00043D60"/>
    <w:rsid w:val="00075BC0"/>
    <w:rsid w:val="000779E6"/>
    <w:rsid w:val="00092CAA"/>
    <w:rsid w:val="000B50CC"/>
    <w:rsid w:val="000C6A2D"/>
    <w:rsid w:val="00111E67"/>
    <w:rsid w:val="0015409B"/>
    <w:rsid w:val="001A70C9"/>
    <w:rsid w:val="001B429B"/>
    <w:rsid w:val="00205D0C"/>
    <w:rsid w:val="00220A6D"/>
    <w:rsid w:val="00221BA5"/>
    <w:rsid w:val="00253097"/>
    <w:rsid w:val="0027096C"/>
    <w:rsid w:val="002766CF"/>
    <w:rsid w:val="00282903"/>
    <w:rsid w:val="0028515F"/>
    <w:rsid w:val="00287D7D"/>
    <w:rsid w:val="0029109D"/>
    <w:rsid w:val="002A5D13"/>
    <w:rsid w:val="002B029B"/>
    <w:rsid w:val="002B4419"/>
    <w:rsid w:val="002D45E4"/>
    <w:rsid w:val="002E4378"/>
    <w:rsid w:val="00305E02"/>
    <w:rsid w:val="00332CA1"/>
    <w:rsid w:val="00345343"/>
    <w:rsid w:val="0034756F"/>
    <w:rsid w:val="003511D4"/>
    <w:rsid w:val="003615F4"/>
    <w:rsid w:val="003676E3"/>
    <w:rsid w:val="00380EF0"/>
    <w:rsid w:val="003A4ED1"/>
    <w:rsid w:val="003E3400"/>
    <w:rsid w:val="00433F51"/>
    <w:rsid w:val="0045558D"/>
    <w:rsid w:val="00461C0D"/>
    <w:rsid w:val="004639C0"/>
    <w:rsid w:val="00472877"/>
    <w:rsid w:val="004955F6"/>
    <w:rsid w:val="00496C3D"/>
    <w:rsid w:val="004A47F9"/>
    <w:rsid w:val="004B6A92"/>
    <w:rsid w:val="004C2396"/>
    <w:rsid w:val="0050689E"/>
    <w:rsid w:val="00534FB6"/>
    <w:rsid w:val="00551B88"/>
    <w:rsid w:val="00587D31"/>
    <w:rsid w:val="00614D0A"/>
    <w:rsid w:val="00653E72"/>
    <w:rsid w:val="00661981"/>
    <w:rsid w:val="0066479A"/>
    <w:rsid w:val="006A5CFE"/>
    <w:rsid w:val="006B731A"/>
    <w:rsid w:val="006B797D"/>
    <w:rsid w:val="006E18EF"/>
    <w:rsid w:val="00725FA4"/>
    <w:rsid w:val="007532DC"/>
    <w:rsid w:val="007A7CA7"/>
    <w:rsid w:val="007B0290"/>
    <w:rsid w:val="007C0AE5"/>
    <w:rsid w:val="007D58D2"/>
    <w:rsid w:val="007E1A2E"/>
    <w:rsid w:val="00810CD0"/>
    <w:rsid w:val="00841FA8"/>
    <w:rsid w:val="008522CE"/>
    <w:rsid w:val="00852BFB"/>
    <w:rsid w:val="00860ECB"/>
    <w:rsid w:val="008633AC"/>
    <w:rsid w:val="008838E4"/>
    <w:rsid w:val="00887070"/>
    <w:rsid w:val="008B1F83"/>
    <w:rsid w:val="008B7A2C"/>
    <w:rsid w:val="008C0D29"/>
    <w:rsid w:val="008E3374"/>
    <w:rsid w:val="008E4B8D"/>
    <w:rsid w:val="008E62B1"/>
    <w:rsid w:val="00925061"/>
    <w:rsid w:val="00937B0B"/>
    <w:rsid w:val="0094172F"/>
    <w:rsid w:val="009433D9"/>
    <w:rsid w:val="00983536"/>
    <w:rsid w:val="009908DD"/>
    <w:rsid w:val="009B721F"/>
    <w:rsid w:val="009E79DF"/>
    <w:rsid w:val="00A06C64"/>
    <w:rsid w:val="00A24EA3"/>
    <w:rsid w:val="00A24F05"/>
    <w:rsid w:val="00AB1A45"/>
    <w:rsid w:val="00AC4A16"/>
    <w:rsid w:val="00B01FFE"/>
    <w:rsid w:val="00B707AF"/>
    <w:rsid w:val="00B77525"/>
    <w:rsid w:val="00B87D52"/>
    <w:rsid w:val="00BB2A0A"/>
    <w:rsid w:val="00BD71E9"/>
    <w:rsid w:val="00BF2BB6"/>
    <w:rsid w:val="00BF7A72"/>
    <w:rsid w:val="00C15633"/>
    <w:rsid w:val="00C310AF"/>
    <w:rsid w:val="00C73E1A"/>
    <w:rsid w:val="00CB473C"/>
    <w:rsid w:val="00CC38C8"/>
    <w:rsid w:val="00CF7045"/>
    <w:rsid w:val="00D758F4"/>
    <w:rsid w:val="00DB32C7"/>
    <w:rsid w:val="00E2265E"/>
    <w:rsid w:val="00E26939"/>
    <w:rsid w:val="00E353A3"/>
    <w:rsid w:val="00EC24AC"/>
    <w:rsid w:val="00EC3153"/>
    <w:rsid w:val="00F20663"/>
    <w:rsid w:val="00F27330"/>
    <w:rsid w:val="00F43559"/>
    <w:rsid w:val="00F82C0D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C0809"/>
  <w15:chartTrackingRefBased/>
  <w15:docId w15:val="{34E61B2E-A1BB-499B-A7CA-A424FAD6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855CC45-F35D-4848-8AED-5115BE2A9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3</cp:revision>
  <cp:lastPrinted>2013-12-09T12:30:00Z</cp:lastPrinted>
  <dcterms:created xsi:type="dcterms:W3CDTF">2026-02-16T13:47:00Z</dcterms:created>
  <dcterms:modified xsi:type="dcterms:W3CDTF">2026-02-16T13:50:00Z</dcterms:modified>
</cp:coreProperties>
</file>