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383DECCE" w14:textId="77777777" w:rsidR="006B2E68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</w:p>
    <w:p w14:paraId="4CD88E04" w14:textId="224E7DD4" w:rsidR="009B3ABF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tbl>
      <w:tblPr>
        <w:tblStyle w:val="Tabellenraster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9B3ABF" w:rsidRPr="009B3ABF" w14:paraId="02BB0636" w14:textId="77777777" w:rsidTr="00A773F9">
        <w:trPr>
          <w:jc w:val="center"/>
        </w:trPr>
        <w:tc>
          <w:tcPr>
            <w:tcW w:w="8926" w:type="dxa"/>
            <w:shd w:val="clear" w:color="auto" w:fill="82AFA7"/>
          </w:tcPr>
          <w:p w14:paraId="14079A66" w14:textId="7DBA104B" w:rsidR="009B3ABF" w:rsidRPr="009B3ABF" w:rsidRDefault="00A773F9" w:rsidP="009B3AB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773F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Anzeichen einer inneren Kündigung</w:t>
            </w:r>
          </w:p>
        </w:tc>
      </w:tr>
      <w:tr w:rsidR="00A773F9" w:rsidRPr="006B2E68" w14:paraId="2A08E741" w14:textId="77777777" w:rsidTr="00A773F9">
        <w:trPr>
          <w:jc w:val="center"/>
        </w:trPr>
        <w:tc>
          <w:tcPr>
            <w:tcW w:w="8926" w:type="dxa"/>
          </w:tcPr>
          <w:p w14:paraId="6533B10E" w14:textId="760520C2" w:rsidR="00A773F9" w:rsidRPr="00A773F9" w:rsidRDefault="00A773F9" w:rsidP="00A773F9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773F9">
              <w:rPr>
                <w:rFonts w:ascii="Arial" w:eastAsiaTheme="minorHAnsi" w:hAnsi="Arial" w:cs="Arial"/>
                <w:b/>
                <w:bCs w:val="0"/>
                <w:color w:val="000000" w:themeColor="text1"/>
                <w:sz w:val="24"/>
              </w:rPr>
              <w:t>Dienst nach Vorschrift:</w:t>
            </w:r>
            <w:r w:rsidRPr="00A773F9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Die Arbeitsqualität sinkt auf das absolute Minimum. Aufgaben werden unmotiviert erledigt oder an Vorgesetzte zurückdelegiert.</w:t>
            </w:r>
          </w:p>
          <w:p w14:paraId="0B1C4061" w14:textId="068B9F62" w:rsidR="00A773F9" w:rsidRPr="00A773F9" w:rsidRDefault="00A773F9" w:rsidP="00A773F9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773F9">
              <w:rPr>
                <w:rFonts w:ascii="Arial" w:eastAsiaTheme="minorHAnsi" w:hAnsi="Arial" w:cs="Arial"/>
                <w:b/>
                <w:bCs w:val="0"/>
                <w:color w:val="000000" w:themeColor="text1"/>
                <w:sz w:val="24"/>
              </w:rPr>
              <w:t>Kommunikationsstopp:</w:t>
            </w:r>
            <w:r w:rsidRPr="00A773F9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Eigene Ideen oder Verbesserungsvorschläge bleiben aus. Informationen werden „vergessen“, und es herrscht eine gleichgültige „Ist mir doch egal“-Mentalität.</w:t>
            </w:r>
          </w:p>
          <w:p w14:paraId="55DE77FE" w14:textId="77777777" w:rsidR="00A773F9" w:rsidRPr="00A773F9" w:rsidRDefault="00A773F9" w:rsidP="00A773F9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773F9">
              <w:rPr>
                <w:rFonts w:ascii="Arial" w:eastAsiaTheme="minorHAnsi" w:hAnsi="Arial" w:cs="Arial"/>
                <w:b/>
                <w:bCs w:val="0"/>
                <w:color w:val="000000" w:themeColor="text1"/>
                <w:sz w:val="24"/>
              </w:rPr>
              <w:t>Rückzug ins Private:</w:t>
            </w:r>
            <w:r w:rsidRPr="00A773F9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Die Bereitschaft zu Mehrarbeit oder zur Teilnahme an Team-Events erlischt komplett. Pausen werden eigenmächtig ausgedehnt.</w:t>
            </w:r>
          </w:p>
          <w:p w14:paraId="52AE324D" w14:textId="5F472CF6" w:rsidR="00A773F9" w:rsidRPr="00A773F9" w:rsidRDefault="00A773F9" w:rsidP="00A773F9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773F9">
              <w:rPr>
                <w:rFonts w:ascii="Arial" w:eastAsiaTheme="minorHAnsi" w:hAnsi="Arial" w:cs="Arial"/>
                <w:b/>
                <w:bCs w:val="0"/>
                <w:color w:val="000000" w:themeColor="text1"/>
                <w:sz w:val="24"/>
              </w:rPr>
              <w:t>Fehlzeitenmuster:</w:t>
            </w:r>
            <w:r w:rsidRPr="00A773F9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Kurze, häufige Krankmeldungen ohne erkennbaren medizinischen Grund häufen sich – oft als „Flucht“ vor der Belastung.</w:t>
            </w:r>
          </w:p>
          <w:p w14:paraId="539F86F2" w14:textId="0BFF262E" w:rsidR="00A773F9" w:rsidRPr="00A773F9" w:rsidRDefault="00A773F9" w:rsidP="00A773F9">
            <w:pPr>
              <w:pStyle w:val="Listenabsatz"/>
              <w:numPr>
                <w:ilvl w:val="0"/>
                <w:numId w:val="33"/>
              </w:numPr>
              <w:spacing w:before="120" w:after="120" w:line="276" w:lineRule="auto"/>
              <w:ind w:left="447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773F9">
              <w:rPr>
                <w:rFonts w:ascii="Arial" w:eastAsiaTheme="minorHAnsi" w:hAnsi="Arial" w:cs="Arial"/>
                <w:b/>
                <w:bCs w:val="0"/>
                <w:color w:val="000000" w:themeColor="text1"/>
                <w:sz w:val="24"/>
              </w:rPr>
              <w:t>Verlust des Ressourcenbewusstseins:</w:t>
            </w:r>
            <w:r w:rsidRPr="00A773F9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Mit Pflegehilfsmitteln oder Einrichtungsgegenständen wird unachtsam umgegangen; das Kostenbewusstsein schwindet.</w:t>
            </w:r>
          </w:p>
        </w:tc>
      </w:tr>
    </w:tbl>
    <w:p w14:paraId="56E9D344" w14:textId="77777777" w:rsidR="006B2E68" w:rsidRDefault="006B2E68" w:rsidP="00C73E1A"/>
    <w:p w14:paraId="49C04305" w14:textId="77777777" w:rsidR="00A773F9" w:rsidRDefault="00A773F9" w:rsidP="00C73E1A"/>
    <w:p w14:paraId="4D238D14" w14:textId="77777777" w:rsidR="00A773F9" w:rsidRDefault="00A773F9" w:rsidP="00C73E1A"/>
    <w:sectPr w:rsidR="00A773F9" w:rsidSect="009B3ABF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DF67" w14:textId="77777777" w:rsidR="000217CA" w:rsidRDefault="000217CA" w:rsidP="002A5D13">
      <w:pPr>
        <w:spacing w:after="0" w:line="240" w:lineRule="auto"/>
      </w:pPr>
      <w:r>
        <w:separator/>
      </w:r>
    </w:p>
  </w:endnote>
  <w:endnote w:type="continuationSeparator" w:id="0">
    <w:p w14:paraId="6549E2C6" w14:textId="77777777" w:rsidR="000217CA" w:rsidRDefault="000217C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9806" w14:textId="77777777" w:rsidR="000217CA" w:rsidRDefault="000217CA" w:rsidP="002A5D13">
      <w:pPr>
        <w:spacing w:after="0" w:line="240" w:lineRule="auto"/>
      </w:pPr>
      <w:r>
        <w:separator/>
      </w:r>
    </w:p>
  </w:footnote>
  <w:footnote w:type="continuationSeparator" w:id="0">
    <w:p w14:paraId="5E16A882" w14:textId="77777777" w:rsidR="000217CA" w:rsidRDefault="000217C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9C2FEB4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9B3ABF">
            <w:rPr>
              <w:b/>
              <w:sz w:val="24"/>
            </w:rPr>
            <w:t>4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15502197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D"/>
    <w:multiLevelType w:val="singleLevel"/>
    <w:tmpl w:val="0000000D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OpenSymbol"/>
        <w:sz w:val="22"/>
        <w:szCs w:val="22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12BDB"/>
    <w:multiLevelType w:val="hybridMultilevel"/>
    <w:tmpl w:val="623CF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65C1A"/>
    <w:multiLevelType w:val="hybridMultilevel"/>
    <w:tmpl w:val="37EE10D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572AC"/>
    <w:multiLevelType w:val="multilevel"/>
    <w:tmpl w:val="256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26099"/>
    <w:multiLevelType w:val="multilevel"/>
    <w:tmpl w:val="388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03D60"/>
    <w:multiLevelType w:val="multilevel"/>
    <w:tmpl w:val="A0A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F0396"/>
    <w:multiLevelType w:val="multilevel"/>
    <w:tmpl w:val="6B80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9000">
    <w:abstractNumId w:val="16"/>
  </w:num>
  <w:num w:numId="2" w16cid:durableId="1000696356">
    <w:abstractNumId w:val="26"/>
  </w:num>
  <w:num w:numId="3" w16cid:durableId="622343131">
    <w:abstractNumId w:val="31"/>
  </w:num>
  <w:num w:numId="4" w16cid:durableId="2098211513">
    <w:abstractNumId w:val="17"/>
  </w:num>
  <w:num w:numId="5" w16cid:durableId="1446730418">
    <w:abstractNumId w:val="13"/>
  </w:num>
  <w:num w:numId="6" w16cid:durableId="1411586306">
    <w:abstractNumId w:val="14"/>
  </w:num>
  <w:num w:numId="7" w16cid:durableId="94787950">
    <w:abstractNumId w:val="19"/>
  </w:num>
  <w:num w:numId="8" w16cid:durableId="1669751253">
    <w:abstractNumId w:val="18"/>
  </w:num>
  <w:num w:numId="9" w16cid:durableId="786630957">
    <w:abstractNumId w:val="15"/>
  </w:num>
  <w:num w:numId="10" w16cid:durableId="1424759463">
    <w:abstractNumId w:val="10"/>
  </w:num>
  <w:num w:numId="11" w16cid:durableId="1814102308">
    <w:abstractNumId w:val="27"/>
  </w:num>
  <w:num w:numId="12" w16cid:durableId="269510518">
    <w:abstractNumId w:val="21"/>
  </w:num>
  <w:num w:numId="13" w16cid:durableId="2119713375">
    <w:abstractNumId w:val="22"/>
  </w:num>
  <w:num w:numId="14" w16cid:durableId="1635139796">
    <w:abstractNumId w:val="20"/>
  </w:num>
  <w:num w:numId="15" w16cid:durableId="1498955337">
    <w:abstractNumId w:val="23"/>
  </w:num>
  <w:num w:numId="16" w16cid:durableId="396052214">
    <w:abstractNumId w:val="24"/>
  </w:num>
  <w:num w:numId="17" w16cid:durableId="2053142037">
    <w:abstractNumId w:val="25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1457455857">
    <w:abstractNumId w:val="30"/>
  </w:num>
  <w:num w:numId="24" w16cid:durableId="471673407">
    <w:abstractNumId w:val="32"/>
  </w:num>
  <w:num w:numId="25" w16cid:durableId="855314298">
    <w:abstractNumId w:val="28"/>
  </w:num>
  <w:num w:numId="26" w16cid:durableId="898201873">
    <w:abstractNumId w:val="29"/>
  </w:num>
  <w:num w:numId="27" w16cid:durableId="1985967151">
    <w:abstractNumId w:val="12"/>
  </w:num>
  <w:num w:numId="28" w16cid:durableId="1923101559">
    <w:abstractNumId w:val="7"/>
  </w:num>
  <w:num w:numId="29" w16cid:durableId="1639266446">
    <w:abstractNumId w:val="5"/>
  </w:num>
  <w:num w:numId="30" w16cid:durableId="1479030143">
    <w:abstractNumId w:val="6"/>
  </w:num>
  <w:num w:numId="31" w16cid:durableId="193273131">
    <w:abstractNumId w:val="8"/>
  </w:num>
  <w:num w:numId="32" w16cid:durableId="849562267">
    <w:abstractNumId w:val="9"/>
  </w:num>
  <w:num w:numId="33" w16cid:durableId="568541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17CA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72352"/>
    <w:rsid w:val="006A5CFE"/>
    <w:rsid w:val="006B2E68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10E4"/>
    <w:rsid w:val="00937B0B"/>
    <w:rsid w:val="009433D9"/>
    <w:rsid w:val="00970B2A"/>
    <w:rsid w:val="00983536"/>
    <w:rsid w:val="009B3ABF"/>
    <w:rsid w:val="009B721F"/>
    <w:rsid w:val="00A06C64"/>
    <w:rsid w:val="00A14A7E"/>
    <w:rsid w:val="00A553E6"/>
    <w:rsid w:val="00A773F9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9B3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2026-02-09T13:18:00Z</dcterms:created>
  <dcterms:modified xsi:type="dcterms:W3CDTF">2026-02-09T13:18:00Z</dcterms:modified>
</cp:coreProperties>
</file>