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5DF36" w14:textId="77777777" w:rsidR="002A5D13" w:rsidRDefault="009C06A2" w:rsidP="007A7CA7">
      <w:pPr>
        <w:tabs>
          <w:tab w:val="left" w:pos="5280"/>
        </w:tabs>
        <w:rPr>
          <w:b/>
          <w:noProof/>
          <w:lang w:eastAsia="de-DE"/>
        </w:rPr>
      </w:pPr>
      <w:r>
        <w:rPr>
          <w:b/>
          <w:noProof/>
          <w:lang w:eastAsia="de-DE"/>
        </w:rPr>
        <w:t xml:space="preserve"> </w:t>
      </w:r>
      <w:r w:rsidR="007A7CA7">
        <w:rPr>
          <w:b/>
          <w:noProof/>
          <w:lang w:eastAsia="de-DE"/>
        </w:rPr>
        <w:tab/>
      </w:r>
    </w:p>
    <w:p w14:paraId="236D2D12" w14:textId="02021B24" w:rsidR="0028600B" w:rsidRDefault="007A7CA7" w:rsidP="0028600B">
      <w:pPr>
        <w:tabs>
          <w:tab w:val="left" w:pos="1365"/>
          <w:tab w:val="left" w:pos="2430"/>
          <w:tab w:val="left" w:pos="4185"/>
          <w:tab w:val="left" w:pos="6900"/>
        </w:tabs>
      </w:pPr>
      <w:r>
        <w:tab/>
      </w:r>
      <w:r w:rsidR="005E1850">
        <w:tab/>
      </w:r>
      <w:r>
        <w:tab/>
      </w:r>
      <w:r w:rsidR="00B707AF">
        <w:tab/>
      </w: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9214"/>
      </w:tblGrid>
      <w:tr w:rsidR="0028600B" w:rsidRPr="0028600B" w14:paraId="67AA63FC" w14:textId="77777777" w:rsidTr="00CA651A">
        <w:tblPrEx>
          <w:tblCellMar>
            <w:top w:w="0" w:type="dxa"/>
            <w:bottom w:w="0" w:type="dxa"/>
          </w:tblCellMar>
        </w:tblPrEx>
        <w:trPr>
          <w:trHeight w:val="301"/>
          <w:jc w:val="center"/>
        </w:trPr>
        <w:tc>
          <w:tcPr>
            <w:tcW w:w="11194" w:type="dxa"/>
            <w:gridSpan w:val="2"/>
            <w:shd w:val="clear" w:color="auto" w:fill="193965"/>
          </w:tcPr>
          <w:p w14:paraId="3B0270B3" w14:textId="77777777" w:rsidR="0028600B" w:rsidRPr="0028600B" w:rsidRDefault="0028600B" w:rsidP="0028600B">
            <w:pPr>
              <w:spacing w:before="120" w:after="120"/>
              <w:rPr>
                <w:rFonts w:ascii="Arial" w:hAnsi="Arial" w:cs="Arial"/>
                <w:b/>
                <w:color w:val="FFFFFF"/>
                <w:sz w:val="28"/>
                <w:szCs w:val="28"/>
              </w:rPr>
            </w:pPr>
            <w:r w:rsidRPr="0028600B">
              <w:rPr>
                <w:rFonts w:ascii="Arial" w:hAnsi="Arial" w:cs="Arial"/>
                <w:b/>
                <w:color w:val="FFFFFF"/>
                <w:sz w:val="28"/>
                <w:szCs w:val="28"/>
              </w:rPr>
              <w:t xml:space="preserve">Übersicht: Symptome/Verhaltensweisen sterbender Menschen und sinnvolle Lösungsansätze </w:t>
            </w:r>
          </w:p>
        </w:tc>
      </w:tr>
      <w:tr w:rsidR="0028600B" w:rsidRPr="0028600B" w14:paraId="215A3F33" w14:textId="77777777" w:rsidTr="00CA651A">
        <w:tblPrEx>
          <w:tblCellMar>
            <w:top w:w="0" w:type="dxa"/>
            <w:bottom w:w="0" w:type="dxa"/>
          </w:tblCellMar>
        </w:tblPrEx>
        <w:trPr>
          <w:trHeight w:val="249"/>
          <w:jc w:val="center"/>
        </w:trPr>
        <w:tc>
          <w:tcPr>
            <w:tcW w:w="1980" w:type="dxa"/>
            <w:shd w:val="clear" w:color="auto" w:fill="C7E3AB"/>
          </w:tcPr>
          <w:p w14:paraId="0ECA960A" w14:textId="78E0FA31" w:rsidR="0028600B" w:rsidRPr="0028600B" w:rsidRDefault="0028600B" w:rsidP="0028600B">
            <w:pPr>
              <w:spacing w:before="120" w:after="120"/>
              <w:rPr>
                <w:rFonts w:ascii="Arial" w:hAnsi="Arial" w:cs="Arial"/>
                <w:b/>
                <w:color w:val="000000" w:themeColor="text1"/>
                <w:sz w:val="23"/>
                <w:szCs w:val="23"/>
              </w:rPr>
            </w:pPr>
            <w:r w:rsidRPr="0028600B">
              <w:rPr>
                <w:rFonts w:ascii="Arial" w:hAnsi="Arial" w:cs="Arial"/>
                <w:b/>
                <w:color w:val="000000" w:themeColor="text1"/>
                <w:sz w:val="23"/>
                <w:szCs w:val="23"/>
              </w:rPr>
              <w:t>Symptome/ Verhaltens</w:t>
            </w:r>
            <w:r>
              <w:rPr>
                <w:rFonts w:ascii="Arial" w:hAnsi="Arial" w:cs="Arial"/>
                <w:b/>
                <w:color w:val="000000" w:themeColor="text1"/>
                <w:sz w:val="23"/>
                <w:szCs w:val="23"/>
              </w:rPr>
              <w:t>-</w:t>
            </w:r>
            <w:r w:rsidRPr="0028600B">
              <w:rPr>
                <w:rFonts w:ascii="Arial" w:hAnsi="Arial" w:cs="Arial"/>
                <w:b/>
                <w:color w:val="000000" w:themeColor="text1"/>
                <w:sz w:val="23"/>
                <w:szCs w:val="23"/>
              </w:rPr>
              <w:t xml:space="preserve">weisen </w:t>
            </w:r>
          </w:p>
        </w:tc>
        <w:tc>
          <w:tcPr>
            <w:tcW w:w="9214" w:type="dxa"/>
            <w:shd w:val="clear" w:color="auto" w:fill="C7E3AB"/>
          </w:tcPr>
          <w:p w14:paraId="0CEAA8CC" w14:textId="77777777" w:rsidR="0028600B" w:rsidRPr="0028600B" w:rsidRDefault="0028600B" w:rsidP="0028600B">
            <w:pPr>
              <w:spacing w:before="120" w:after="120"/>
              <w:rPr>
                <w:rFonts w:ascii="Arial" w:hAnsi="Arial" w:cs="Arial"/>
                <w:b/>
                <w:color w:val="000000" w:themeColor="text1"/>
                <w:sz w:val="23"/>
                <w:szCs w:val="23"/>
              </w:rPr>
            </w:pPr>
            <w:r w:rsidRPr="0028600B">
              <w:rPr>
                <w:rFonts w:ascii="Arial" w:hAnsi="Arial" w:cs="Arial"/>
                <w:b/>
                <w:color w:val="000000" w:themeColor="text1"/>
                <w:sz w:val="23"/>
                <w:szCs w:val="23"/>
              </w:rPr>
              <w:t xml:space="preserve">Sinnvolle Lösungsansätze </w:t>
            </w:r>
          </w:p>
        </w:tc>
      </w:tr>
      <w:tr w:rsidR="0028600B" w:rsidRPr="0028600B" w14:paraId="1C5FEBB7" w14:textId="77777777" w:rsidTr="00CA651A">
        <w:tblPrEx>
          <w:tblCellMar>
            <w:top w:w="0" w:type="dxa"/>
            <w:bottom w:w="0" w:type="dxa"/>
          </w:tblCellMar>
        </w:tblPrEx>
        <w:trPr>
          <w:trHeight w:val="1337"/>
          <w:jc w:val="center"/>
        </w:trPr>
        <w:tc>
          <w:tcPr>
            <w:tcW w:w="1980" w:type="dxa"/>
          </w:tcPr>
          <w:p w14:paraId="1E375DFF" w14:textId="77777777" w:rsidR="0028600B" w:rsidRPr="0028600B" w:rsidRDefault="0028600B" w:rsidP="0028600B">
            <w:pPr>
              <w:spacing w:before="120" w:after="120"/>
              <w:rPr>
                <w:rFonts w:ascii="Arial" w:hAnsi="Arial" w:cs="Arial"/>
                <w:bCs/>
                <w:color w:val="000000" w:themeColor="text1"/>
                <w:sz w:val="23"/>
                <w:szCs w:val="23"/>
              </w:rPr>
            </w:pPr>
            <w:r w:rsidRPr="0028600B">
              <w:rPr>
                <w:rFonts w:ascii="Arial" w:hAnsi="Arial" w:cs="Arial"/>
                <w:bCs/>
                <w:color w:val="000000" w:themeColor="text1"/>
                <w:sz w:val="23"/>
                <w:szCs w:val="23"/>
              </w:rPr>
              <w:t xml:space="preserve">1. Innere Unruhe </w:t>
            </w:r>
          </w:p>
        </w:tc>
        <w:tc>
          <w:tcPr>
            <w:tcW w:w="9214" w:type="dxa"/>
          </w:tcPr>
          <w:p w14:paraId="0AF3C89A" w14:textId="4BE7E71C"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 xml:space="preserve">Nehmen Sie sich unbedingt Zeit für den geliebten Menschen. Schauen Sie nicht nur „auf einen Sprung“ vorbei, sodass Sie gedanklich schon wieder woanders sind. Das spürt Ihr Angehöriger. </w:t>
            </w:r>
          </w:p>
          <w:p w14:paraId="45637950" w14:textId="21A2C8E0"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Suchen Sie Körperkontakt, wenn Ihnen das angenehm ist, z. B. Hände halten, über die Arme oder die Wange streicheln, gegebenenfalls sogar zu dem sterbenden Menschen mit ins Bett legen, ihn um</w:t>
            </w:r>
            <w:r w:rsidRPr="0028600B">
              <w:rPr>
                <w:rFonts w:ascii="Arial" w:hAnsi="Arial" w:cs="Arial"/>
                <w:color w:val="000000" w:themeColor="text1"/>
                <w:sz w:val="23"/>
                <w:szCs w:val="23"/>
              </w:rPr>
              <w:softHyphen/>
              <w:t xml:space="preserve">armen. </w:t>
            </w:r>
          </w:p>
          <w:p w14:paraId="1431C2D7" w14:textId="2765DA8D"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 xml:space="preserve">Wenn möglich: Testen Sie, ob ihm die Mobilisation in den Pflegerollstuhl noch guttut. Wenn ja: Gehen Sie mit ihm an die Luft. </w:t>
            </w:r>
          </w:p>
          <w:p w14:paraId="540C5E3D" w14:textId="450CF918"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Halten Sie Unruhe aus, belehren Sie ihn nicht mit Sätzen wie z. B. „Jetzt lieg doch mal still!“ So ma</w:t>
            </w:r>
            <w:r w:rsidRPr="0028600B">
              <w:rPr>
                <w:rFonts w:ascii="Arial" w:hAnsi="Arial" w:cs="Arial"/>
                <w:color w:val="000000" w:themeColor="text1"/>
                <w:sz w:val="23"/>
                <w:szCs w:val="23"/>
              </w:rPr>
              <w:softHyphen/>
              <w:t xml:space="preserve">kaber das auf den ersten Blick klingt: Denken Sie immer daran, dass das Sterben sein Weg ist und er die Regeln bestimmt. </w:t>
            </w:r>
          </w:p>
          <w:p w14:paraId="76C5C693" w14:textId="716E3D3E"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 xml:space="preserve">Bei sehr ausgeprägter Symptomatik, die auf keine anderen Maßnahmen anschlägt: Lassen Sie ein (Bedarfs-)Medikament vom Arzt verordnen. Wir Pflegefachkräfte unterstützen Sie dabei! </w:t>
            </w:r>
          </w:p>
        </w:tc>
      </w:tr>
      <w:tr w:rsidR="0028600B" w:rsidRPr="0028600B" w14:paraId="20AB3284" w14:textId="77777777" w:rsidTr="00CA651A">
        <w:tblPrEx>
          <w:tblCellMar>
            <w:top w:w="0" w:type="dxa"/>
            <w:bottom w:w="0" w:type="dxa"/>
          </w:tblCellMar>
        </w:tblPrEx>
        <w:trPr>
          <w:trHeight w:val="897"/>
          <w:jc w:val="center"/>
        </w:trPr>
        <w:tc>
          <w:tcPr>
            <w:tcW w:w="1980" w:type="dxa"/>
          </w:tcPr>
          <w:p w14:paraId="26E29E21" w14:textId="29153357" w:rsidR="0028600B" w:rsidRPr="0028600B" w:rsidRDefault="0028600B" w:rsidP="0028600B">
            <w:pPr>
              <w:spacing w:before="120" w:after="120"/>
              <w:rPr>
                <w:rFonts w:ascii="Arial" w:hAnsi="Arial" w:cs="Arial"/>
                <w:bCs/>
                <w:color w:val="000000" w:themeColor="text1"/>
                <w:sz w:val="23"/>
                <w:szCs w:val="23"/>
              </w:rPr>
            </w:pPr>
            <w:r w:rsidRPr="0028600B">
              <w:rPr>
                <w:rFonts w:ascii="Arial" w:hAnsi="Arial" w:cs="Arial"/>
                <w:bCs/>
                <w:color w:val="000000" w:themeColor="text1"/>
                <w:sz w:val="23"/>
                <w:szCs w:val="23"/>
              </w:rPr>
              <w:t xml:space="preserve">2. Murmeln unverständlicher Worte </w:t>
            </w:r>
          </w:p>
        </w:tc>
        <w:tc>
          <w:tcPr>
            <w:tcW w:w="9214" w:type="dxa"/>
          </w:tcPr>
          <w:p w14:paraId="499C2EC1" w14:textId="33B55C45"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 xml:space="preserve">Bemühen Sie sich, diese zu verstehen. </w:t>
            </w:r>
          </w:p>
          <w:p w14:paraId="07BA72BD" w14:textId="063E1FC2"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 xml:space="preserve">Stellen Sie aktiv Fragen, die der Sterbende nach Anleitung nur mit Ja/Nein oder einem Händedruck (drücken heißt ja, nicht drücken heißt nein) beantworten kann, z. B. „Möchtest du mir etwas sagen?“, „Geht es um ein Thema aus deiner Kindheit?“, „Geht es um ein Thema, das nur uns beide betrifft?“ </w:t>
            </w:r>
          </w:p>
          <w:p w14:paraId="16D08139" w14:textId="1233DF95"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 xml:space="preserve">Bei kognitiven Einschränkungen: Sagen Sie Ihrem Angehörigen immer wieder, dass Sie ihn zwar nicht verstehen, aber sich um alles kümmern. </w:t>
            </w:r>
          </w:p>
          <w:p w14:paraId="3219BE6D" w14:textId="21AF0933"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 xml:space="preserve">Greifen Sie auf Maßnahmen aus der Basalen Stimulation zurück. Wir Pflegefachkräfte leiten Sie gern zur Umsetzung an – bitte sprechen Sie uns an! </w:t>
            </w:r>
          </w:p>
        </w:tc>
      </w:tr>
      <w:tr w:rsidR="0028600B" w:rsidRPr="0028600B" w14:paraId="3AFCFA29" w14:textId="77777777" w:rsidTr="00CA651A">
        <w:tblPrEx>
          <w:tblCellMar>
            <w:top w:w="0" w:type="dxa"/>
            <w:bottom w:w="0" w:type="dxa"/>
          </w:tblCellMar>
        </w:tblPrEx>
        <w:trPr>
          <w:trHeight w:val="567"/>
          <w:jc w:val="center"/>
        </w:trPr>
        <w:tc>
          <w:tcPr>
            <w:tcW w:w="1980" w:type="dxa"/>
          </w:tcPr>
          <w:p w14:paraId="62BDC067" w14:textId="77777777" w:rsidR="0028600B" w:rsidRPr="0028600B" w:rsidRDefault="0028600B" w:rsidP="0028600B">
            <w:pPr>
              <w:spacing w:before="120" w:after="120"/>
              <w:rPr>
                <w:rFonts w:ascii="Arial" w:hAnsi="Arial" w:cs="Arial"/>
                <w:bCs/>
                <w:color w:val="000000" w:themeColor="text1"/>
                <w:sz w:val="23"/>
                <w:szCs w:val="23"/>
              </w:rPr>
            </w:pPr>
            <w:r w:rsidRPr="0028600B">
              <w:rPr>
                <w:rFonts w:ascii="Arial" w:hAnsi="Arial" w:cs="Arial"/>
                <w:bCs/>
                <w:color w:val="000000" w:themeColor="text1"/>
                <w:sz w:val="23"/>
                <w:szCs w:val="23"/>
              </w:rPr>
              <w:t xml:space="preserve">3. Trockener Mund </w:t>
            </w:r>
          </w:p>
        </w:tc>
        <w:tc>
          <w:tcPr>
            <w:tcW w:w="9214" w:type="dxa"/>
          </w:tcPr>
          <w:p w14:paraId="05F48EE2" w14:textId="59AB0000"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 xml:space="preserve">Keine Angst: Ihr Angehöriger kann nicht „vertrocknen“! Es ist in der Sterbephase völlig normal, dass die Körperfunktionen des Menschen herunterfahren. </w:t>
            </w:r>
          </w:p>
          <w:p w14:paraId="11A67C58" w14:textId="47493646"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 xml:space="preserve">Führen Sie im individuellen Rhythmus (wie es Ihrem Angehörigen guttut) Mundpflege durch. Hierfür stellen wir die Materialien (z. B. individuell </w:t>
            </w:r>
            <w:proofErr w:type="spellStart"/>
            <w:r w:rsidRPr="0028600B">
              <w:rPr>
                <w:rFonts w:ascii="Arial" w:hAnsi="Arial" w:cs="Arial"/>
                <w:color w:val="000000" w:themeColor="text1"/>
                <w:sz w:val="23"/>
                <w:szCs w:val="23"/>
              </w:rPr>
              <w:t>befüllbare</w:t>
            </w:r>
            <w:proofErr w:type="spellEnd"/>
            <w:r w:rsidRPr="0028600B">
              <w:rPr>
                <w:rFonts w:ascii="Arial" w:hAnsi="Arial" w:cs="Arial"/>
                <w:color w:val="000000" w:themeColor="text1"/>
                <w:sz w:val="23"/>
                <w:szCs w:val="23"/>
              </w:rPr>
              <w:t xml:space="preserve"> Sprays, Mundpflegestäbchen) zur Verfügung und leiten Sie gern an – sprechen Sie uns jederzeit an! </w:t>
            </w:r>
          </w:p>
        </w:tc>
      </w:tr>
      <w:tr w:rsidR="0028600B" w:rsidRPr="0028600B" w14:paraId="275597C3" w14:textId="77777777" w:rsidTr="00CA651A">
        <w:tblPrEx>
          <w:tblCellMar>
            <w:top w:w="0" w:type="dxa"/>
            <w:bottom w:w="0" w:type="dxa"/>
          </w:tblCellMar>
        </w:tblPrEx>
        <w:trPr>
          <w:trHeight w:val="787"/>
          <w:jc w:val="center"/>
        </w:trPr>
        <w:tc>
          <w:tcPr>
            <w:tcW w:w="1980" w:type="dxa"/>
          </w:tcPr>
          <w:p w14:paraId="1615C798" w14:textId="33CF0C3C" w:rsidR="0028600B" w:rsidRPr="0028600B" w:rsidRDefault="0028600B" w:rsidP="0028600B">
            <w:pPr>
              <w:spacing w:before="120" w:after="120"/>
              <w:rPr>
                <w:rFonts w:ascii="Arial" w:hAnsi="Arial" w:cs="Arial"/>
                <w:bCs/>
                <w:color w:val="000000" w:themeColor="text1"/>
                <w:sz w:val="23"/>
                <w:szCs w:val="23"/>
              </w:rPr>
            </w:pPr>
            <w:r w:rsidRPr="0028600B">
              <w:rPr>
                <w:rFonts w:ascii="Arial" w:hAnsi="Arial" w:cs="Arial"/>
                <w:bCs/>
                <w:color w:val="000000" w:themeColor="text1"/>
                <w:sz w:val="23"/>
                <w:szCs w:val="23"/>
              </w:rPr>
              <w:t xml:space="preserve">4. Klinische Symptome wie schnelle Atmung, erhöhte Temperatur, Übelkeit und Ähnliches </w:t>
            </w:r>
          </w:p>
        </w:tc>
        <w:tc>
          <w:tcPr>
            <w:tcW w:w="9214" w:type="dxa"/>
          </w:tcPr>
          <w:p w14:paraId="22C5C5D3" w14:textId="631A2241"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Nach Rücksprache mit dem behandelnden Arzt werden wir gegebenenfalls Bedarfsmedikamente ver</w:t>
            </w:r>
            <w:r w:rsidRPr="0028600B">
              <w:rPr>
                <w:rFonts w:ascii="Arial" w:hAnsi="Arial" w:cs="Arial"/>
                <w:color w:val="000000" w:themeColor="text1"/>
                <w:sz w:val="23"/>
                <w:szCs w:val="23"/>
              </w:rPr>
              <w:softHyphen/>
              <w:t xml:space="preserve">abreichen. </w:t>
            </w:r>
          </w:p>
          <w:p w14:paraId="1842F68A" w14:textId="49B42EC3"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Manche Symptome, wie z. B. die schnelle Atmung, sind am Lebensende aber auch ganz normal. Bitte verlassen Sie sich auf unsere professionelle Einschätzung und lassen Sie uns gemeinsam die Lebens</w:t>
            </w:r>
            <w:r w:rsidRPr="0028600B">
              <w:rPr>
                <w:rFonts w:ascii="Arial" w:hAnsi="Arial" w:cs="Arial"/>
                <w:color w:val="000000" w:themeColor="text1"/>
                <w:sz w:val="23"/>
                <w:szCs w:val="23"/>
              </w:rPr>
              <w:softHyphen/>
              <w:t xml:space="preserve">qualität Ihres Angehörigen erhalten. </w:t>
            </w:r>
          </w:p>
          <w:p w14:paraId="6FE46077" w14:textId="70F0B134" w:rsidR="0028600B" w:rsidRPr="0028600B" w:rsidRDefault="0028600B" w:rsidP="0028600B">
            <w:pPr>
              <w:pStyle w:val="Listenabsatz"/>
              <w:numPr>
                <w:ilvl w:val="0"/>
                <w:numId w:val="24"/>
              </w:numPr>
              <w:spacing w:before="120" w:after="120" w:line="276" w:lineRule="auto"/>
              <w:ind w:left="291" w:hanging="219"/>
              <w:rPr>
                <w:rFonts w:ascii="Arial" w:hAnsi="Arial" w:cs="Arial"/>
                <w:color w:val="000000" w:themeColor="text1"/>
                <w:sz w:val="23"/>
                <w:szCs w:val="23"/>
              </w:rPr>
            </w:pPr>
            <w:r w:rsidRPr="0028600B">
              <w:rPr>
                <w:rFonts w:ascii="Arial" w:hAnsi="Arial" w:cs="Arial"/>
                <w:color w:val="000000" w:themeColor="text1"/>
                <w:sz w:val="23"/>
                <w:szCs w:val="23"/>
              </w:rPr>
              <w:t>Was für uns immer klar ist: Niemand muss während der palliativen Versorgung Schmerzen haben. In diesem Bereich die Symptomfreiheit zu erreichen hat oberste Priorität!</w:t>
            </w:r>
          </w:p>
        </w:tc>
      </w:tr>
    </w:tbl>
    <w:p w14:paraId="36EE8BCC" w14:textId="77777777" w:rsidR="0028600B" w:rsidRPr="0028600B" w:rsidRDefault="0028600B" w:rsidP="0028600B">
      <w:pPr>
        <w:spacing w:before="120" w:after="120"/>
        <w:rPr>
          <w:rFonts w:ascii="Arial" w:hAnsi="Arial" w:cs="Arial"/>
          <w:bCs/>
          <w:color w:val="000000" w:themeColor="text1"/>
          <w:sz w:val="24"/>
          <w:szCs w:val="24"/>
        </w:rPr>
      </w:pPr>
    </w:p>
    <w:sectPr w:rsidR="0028600B" w:rsidRPr="0028600B" w:rsidSect="0028600B">
      <w:headerReference w:type="default" r:id="rId9"/>
      <w:pgSz w:w="11906" w:h="16838" w:code="9"/>
      <w:pgMar w:top="-709"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EBFDF" w14:textId="77777777" w:rsidR="005328C7" w:rsidRDefault="005328C7" w:rsidP="002A5D13">
      <w:pPr>
        <w:spacing w:after="0" w:line="240" w:lineRule="auto"/>
      </w:pPr>
      <w:r>
        <w:separator/>
      </w:r>
    </w:p>
  </w:endnote>
  <w:endnote w:type="continuationSeparator" w:id="0">
    <w:p w14:paraId="34FFA23C" w14:textId="77777777" w:rsidR="005328C7" w:rsidRDefault="005328C7"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SemiBold">
    <w:charset w:val="00"/>
    <w:family w:val="auto"/>
    <w:pitch w:val="variable"/>
    <w:sig w:usb0="2000020F" w:usb1="00000003" w:usb2="00000000" w:usb3="00000000" w:csb0="00000197" w:csb1="00000000"/>
  </w:font>
  <w:font w:name="Montserrat">
    <w:altName w:val="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3AAE8" w14:textId="77777777" w:rsidR="005328C7" w:rsidRDefault="005328C7" w:rsidP="002A5D13">
      <w:pPr>
        <w:spacing w:after="0" w:line="240" w:lineRule="auto"/>
      </w:pPr>
      <w:r>
        <w:separator/>
      </w:r>
    </w:p>
  </w:footnote>
  <w:footnote w:type="continuationSeparator" w:id="0">
    <w:p w14:paraId="2CEBA285" w14:textId="77777777" w:rsidR="005328C7" w:rsidRDefault="005328C7"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4D1B10A3" w14:textId="77777777" w:rsidTr="00D10D40">
      <w:tc>
        <w:tcPr>
          <w:tcW w:w="1500" w:type="pct"/>
          <w:tcBorders>
            <w:bottom w:val="single" w:sz="4" w:space="0" w:color="auto"/>
          </w:tcBorders>
          <w:shd w:val="clear" w:color="auto" w:fill="193965"/>
          <w:vAlign w:val="center"/>
        </w:tcPr>
        <w:p w14:paraId="4D9CA12B" w14:textId="01F82483" w:rsidR="007A7CA7" w:rsidRPr="007A7CA7" w:rsidRDefault="00D242BF" w:rsidP="005E1850">
          <w:pPr>
            <w:pStyle w:val="Kopfzeile"/>
            <w:jc w:val="center"/>
            <w:rPr>
              <w:b/>
              <w:color w:val="FFFFFF"/>
            </w:rPr>
          </w:pPr>
          <w:r>
            <w:rPr>
              <w:b/>
              <w:color w:val="FFFFFF"/>
              <w:sz w:val="24"/>
            </w:rPr>
            <w:t xml:space="preserve">Ausgabe </w:t>
          </w:r>
          <w:r w:rsidR="00E163C6">
            <w:rPr>
              <w:b/>
              <w:color w:val="FFFFFF"/>
              <w:sz w:val="24"/>
            </w:rPr>
            <w:t>0</w:t>
          </w:r>
          <w:r w:rsidR="000C0A28">
            <w:rPr>
              <w:b/>
              <w:color w:val="FFFFFF"/>
              <w:sz w:val="24"/>
            </w:rPr>
            <w:t>9</w:t>
          </w:r>
          <w:r w:rsidR="00826760">
            <w:rPr>
              <w:b/>
              <w:color w:val="FFFFFF"/>
              <w:sz w:val="24"/>
            </w:rPr>
            <w:t xml:space="preserve"> - 20</w:t>
          </w:r>
          <w:r w:rsidR="00017AB1">
            <w:rPr>
              <w:b/>
              <w:color w:val="FFFFFF"/>
              <w:sz w:val="24"/>
            </w:rPr>
            <w:t>2</w:t>
          </w:r>
          <w:r w:rsidR="00AE7949">
            <w:rPr>
              <w:b/>
              <w:color w:val="FFFFFF"/>
              <w:sz w:val="24"/>
            </w:rPr>
            <w:t>6</w:t>
          </w:r>
        </w:p>
      </w:tc>
      <w:tc>
        <w:tcPr>
          <w:tcW w:w="4000" w:type="pct"/>
          <w:tcBorders>
            <w:bottom w:val="single" w:sz="4" w:space="0" w:color="auto"/>
          </w:tcBorders>
          <w:vAlign w:val="bottom"/>
        </w:tcPr>
        <w:p w14:paraId="0CDFD6C6" w14:textId="754E3407" w:rsidR="007A7CA7" w:rsidRPr="0050689E" w:rsidRDefault="00A56A28" w:rsidP="007A7CA7">
          <w:pPr>
            <w:pStyle w:val="Kopfzeile"/>
            <w:rPr>
              <w:b/>
              <w:bCs/>
              <w:color w:val="76923C"/>
              <w:sz w:val="28"/>
            </w:rPr>
          </w:pPr>
          <w:r w:rsidRPr="00D10D40">
            <w:rPr>
              <w:color w:val="193965"/>
              <w:sz w:val="36"/>
            </w:rPr>
            <w:t>Praxis:</w:t>
          </w:r>
          <w:r w:rsidRPr="00D10D40">
            <w:rPr>
              <w:b/>
              <w:bCs/>
              <w:color w:val="193965"/>
              <w:sz w:val="36"/>
            </w:rPr>
            <w:t xml:space="preserve"> Alten</w:t>
          </w:r>
          <w:r w:rsidRPr="00D10D40">
            <w:rPr>
              <w:i/>
              <w:iCs/>
              <w:color w:val="81BF41"/>
              <w:sz w:val="36"/>
            </w:rPr>
            <w:t>pflege</w:t>
          </w:r>
        </w:p>
        <w:p w14:paraId="023F2FD8" w14:textId="029196EE" w:rsidR="007A7CA7" w:rsidRPr="007A7CA7" w:rsidRDefault="00D10D40" w:rsidP="007A7CA7">
          <w:pPr>
            <w:pStyle w:val="Kopfzeile"/>
            <w:rPr>
              <w:color w:val="000000"/>
              <w:sz w:val="24"/>
            </w:rPr>
          </w:pPr>
          <w:r w:rsidRPr="00D10D40">
            <w:rPr>
              <w:bCs/>
              <w:sz w:val="18"/>
            </w:rPr>
            <w:t>Wissen kompakt für ambulante und stationäre Pflegefachkräfte</w:t>
          </w:r>
        </w:p>
      </w:tc>
    </w:tr>
  </w:tbl>
  <w:p w14:paraId="225A2CA3" w14:textId="77777777" w:rsidR="007A7CA7" w:rsidRDefault="007A7CA7">
    <w:pPr>
      <w:pStyle w:val="Kopfzeile"/>
    </w:pPr>
  </w:p>
  <w:p w14:paraId="786F3783"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A435BD5"/>
    <w:multiLevelType w:val="hybridMultilevel"/>
    <w:tmpl w:val="9D901E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C80017D"/>
    <w:multiLevelType w:val="hybridMultilevel"/>
    <w:tmpl w:val="A4ACC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65254855">
    <w:abstractNumId w:val="10"/>
  </w:num>
  <w:num w:numId="2" w16cid:durableId="110518625">
    <w:abstractNumId w:val="21"/>
  </w:num>
  <w:num w:numId="3" w16cid:durableId="1023476870">
    <w:abstractNumId w:val="23"/>
  </w:num>
  <w:num w:numId="4" w16cid:durableId="1632981953">
    <w:abstractNumId w:val="11"/>
  </w:num>
  <w:num w:numId="5" w16cid:durableId="334385539">
    <w:abstractNumId w:val="6"/>
  </w:num>
  <w:num w:numId="6" w16cid:durableId="292560944">
    <w:abstractNumId w:val="7"/>
  </w:num>
  <w:num w:numId="7" w16cid:durableId="617414864">
    <w:abstractNumId w:val="14"/>
  </w:num>
  <w:num w:numId="8" w16cid:durableId="1349798627">
    <w:abstractNumId w:val="12"/>
  </w:num>
  <w:num w:numId="9" w16cid:durableId="425809380">
    <w:abstractNumId w:val="8"/>
  </w:num>
  <w:num w:numId="10" w16cid:durableId="2045593739">
    <w:abstractNumId w:val="5"/>
  </w:num>
  <w:num w:numId="11" w16cid:durableId="2030179877">
    <w:abstractNumId w:val="22"/>
  </w:num>
  <w:num w:numId="12" w16cid:durableId="808983353">
    <w:abstractNumId w:val="16"/>
  </w:num>
  <w:num w:numId="13" w16cid:durableId="1540699642">
    <w:abstractNumId w:val="17"/>
  </w:num>
  <w:num w:numId="14" w16cid:durableId="1014500060">
    <w:abstractNumId w:val="15"/>
  </w:num>
  <w:num w:numId="15" w16cid:durableId="473067152">
    <w:abstractNumId w:val="18"/>
  </w:num>
  <w:num w:numId="16" w16cid:durableId="516389024">
    <w:abstractNumId w:val="19"/>
  </w:num>
  <w:num w:numId="17" w16cid:durableId="1666322767">
    <w:abstractNumId w:val="20"/>
  </w:num>
  <w:num w:numId="18" w16cid:durableId="1794514842">
    <w:abstractNumId w:val="4"/>
  </w:num>
  <w:num w:numId="19" w16cid:durableId="1643078212">
    <w:abstractNumId w:val="3"/>
  </w:num>
  <w:num w:numId="20" w16cid:durableId="682588562">
    <w:abstractNumId w:val="2"/>
  </w:num>
  <w:num w:numId="21" w16cid:durableId="1766802288">
    <w:abstractNumId w:val="1"/>
  </w:num>
  <w:num w:numId="22" w16cid:durableId="1246185949">
    <w:abstractNumId w:val="0"/>
  </w:num>
  <w:num w:numId="23" w16cid:durableId="1528252879">
    <w:abstractNumId w:val="13"/>
  </w:num>
  <w:num w:numId="24" w16cid:durableId="1807059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17AB1"/>
    <w:rsid w:val="00022C51"/>
    <w:rsid w:val="00032A0C"/>
    <w:rsid w:val="00070D06"/>
    <w:rsid w:val="00075BC0"/>
    <w:rsid w:val="000B50CC"/>
    <w:rsid w:val="000C0A28"/>
    <w:rsid w:val="000C6A2D"/>
    <w:rsid w:val="000E54B5"/>
    <w:rsid w:val="0015409B"/>
    <w:rsid w:val="00197AF9"/>
    <w:rsid w:val="001B429B"/>
    <w:rsid w:val="001D71D3"/>
    <w:rsid w:val="00205D0C"/>
    <w:rsid w:val="0027096C"/>
    <w:rsid w:val="002766CF"/>
    <w:rsid w:val="0028515F"/>
    <w:rsid w:val="0028600B"/>
    <w:rsid w:val="002A5D13"/>
    <w:rsid w:val="002B029B"/>
    <w:rsid w:val="002B4419"/>
    <w:rsid w:val="002D45E4"/>
    <w:rsid w:val="002E4378"/>
    <w:rsid w:val="002F7B4F"/>
    <w:rsid w:val="0033125E"/>
    <w:rsid w:val="003676E3"/>
    <w:rsid w:val="00380EF0"/>
    <w:rsid w:val="003A1644"/>
    <w:rsid w:val="003E3400"/>
    <w:rsid w:val="0042075B"/>
    <w:rsid w:val="00433F51"/>
    <w:rsid w:val="004639C0"/>
    <w:rsid w:val="00475E98"/>
    <w:rsid w:val="004955F6"/>
    <w:rsid w:val="004A47F9"/>
    <w:rsid w:val="004C2396"/>
    <w:rsid w:val="004E6AAB"/>
    <w:rsid w:val="0050689E"/>
    <w:rsid w:val="005328C7"/>
    <w:rsid w:val="00547B8D"/>
    <w:rsid w:val="00551B88"/>
    <w:rsid w:val="00587D31"/>
    <w:rsid w:val="005E1850"/>
    <w:rsid w:val="00614D0A"/>
    <w:rsid w:val="00653E72"/>
    <w:rsid w:val="00661981"/>
    <w:rsid w:val="00682D85"/>
    <w:rsid w:val="006A5CFE"/>
    <w:rsid w:val="006E18EF"/>
    <w:rsid w:val="0077330A"/>
    <w:rsid w:val="00782522"/>
    <w:rsid w:val="007A7CA7"/>
    <w:rsid w:val="007B0290"/>
    <w:rsid w:val="007C0AE5"/>
    <w:rsid w:val="007E1A2E"/>
    <w:rsid w:val="00825AFB"/>
    <w:rsid w:val="00826760"/>
    <w:rsid w:val="00841FA8"/>
    <w:rsid w:val="00852BFB"/>
    <w:rsid w:val="008633AC"/>
    <w:rsid w:val="00887070"/>
    <w:rsid w:val="008B1F83"/>
    <w:rsid w:val="008E62B1"/>
    <w:rsid w:val="008F5C4C"/>
    <w:rsid w:val="00937B0B"/>
    <w:rsid w:val="009433D9"/>
    <w:rsid w:val="00983536"/>
    <w:rsid w:val="009B721F"/>
    <w:rsid w:val="009C06A2"/>
    <w:rsid w:val="009D2836"/>
    <w:rsid w:val="00A06C64"/>
    <w:rsid w:val="00A56A28"/>
    <w:rsid w:val="00AC136E"/>
    <w:rsid w:val="00AE4D06"/>
    <w:rsid w:val="00AE7949"/>
    <w:rsid w:val="00B01FFE"/>
    <w:rsid w:val="00B707AF"/>
    <w:rsid w:val="00B87D52"/>
    <w:rsid w:val="00BC398F"/>
    <w:rsid w:val="00BD71E9"/>
    <w:rsid w:val="00C135D1"/>
    <w:rsid w:val="00C310AF"/>
    <w:rsid w:val="00C56126"/>
    <w:rsid w:val="00C65F63"/>
    <w:rsid w:val="00C73E1A"/>
    <w:rsid w:val="00CA1A10"/>
    <w:rsid w:val="00CA651A"/>
    <w:rsid w:val="00CC38C8"/>
    <w:rsid w:val="00D10D40"/>
    <w:rsid w:val="00D242BF"/>
    <w:rsid w:val="00D61A61"/>
    <w:rsid w:val="00D86187"/>
    <w:rsid w:val="00DB32C7"/>
    <w:rsid w:val="00DD54CC"/>
    <w:rsid w:val="00E163C6"/>
    <w:rsid w:val="00E17069"/>
    <w:rsid w:val="00E2265E"/>
    <w:rsid w:val="00EA5F7F"/>
    <w:rsid w:val="00EB3636"/>
    <w:rsid w:val="00ED3984"/>
    <w:rsid w:val="00F12F5E"/>
    <w:rsid w:val="00F20663"/>
    <w:rsid w:val="00F64056"/>
    <w:rsid w:val="00FA19D7"/>
    <w:rsid w:val="00FB3A5A"/>
    <w:rsid w:val="00FC278E"/>
    <w:rsid w:val="00FE7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3204D"/>
  <w15:chartTrackingRefBased/>
  <w15:docId w15:val="{96E791A6-8852-478C-84C8-2851535F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Pa2">
    <w:name w:val="Pa2"/>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character" w:customStyle="1" w:styleId="A10">
    <w:name w:val="A10"/>
    <w:uiPriority w:val="99"/>
    <w:rsid w:val="00D10D40"/>
    <w:rPr>
      <w:rFonts w:cs="Montserrat SemiBold"/>
      <w:b/>
      <w:bCs/>
      <w:color w:val="211D1E"/>
      <w:sz w:val="22"/>
      <w:szCs w:val="22"/>
    </w:rPr>
  </w:style>
  <w:style w:type="paragraph" w:customStyle="1" w:styleId="Pa15">
    <w:name w:val="Pa15"/>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paragraph" w:customStyle="1" w:styleId="Pa18">
    <w:name w:val="Pa18"/>
    <w:basedOn w:val="Standard"/>
    <w:next w:val="Standard"/>
    <w:uiPriority w:val="99"/>
    <w:rsid w:val="00D61A61"/>
    <w:pPr>
      <w:autoSpaceDE w:val="0"/>
      <w:autoSpaceDN w:val="0"/>
      <w:adjustRightInd w:val="0"/>
      <w:spacing w:after="0" w:line="241" w:lineRule="atLeast"/>
    </w:pPr>
    <w:rPr>
      <w:rFonts w:ascii="Montserrat" w:hAnsi="Montserrat"/>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E372C6-78CF-47D5-8ED7-445AA5E1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724</Words>
  <Characters>2036</Characters>
  <Application>Microsoft Office Word</Application>
  <DocSecurity>0</DocSecurity>
  <Lines>1018</Lines>
  <Paragraphs>689</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3</cp:revision>
  <cp:lastPrinted>2013-12-09T12:30:00Z</cp:lastPrinted>
  <dcterms:created xsi:type="dcterms:W3CDTF">2026-04-09T11:52:00Z</dcterms:created>
  <dcterms:modified xsi:type="dcterms:W3CDTF">2026-04-09T11:52:00Z</dcterms:modified>
</cp:coreProperties>
</file>