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1F0E915" w14:textId="77777777" w:rsidR="00C73E1A" w:rsidRDefault="007A7CA7" w:rsidP="00E353A3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  <w:r w:rsidR="00B707AF">
        <w:tab/>
      </w:r>
    </w:p>
    <w:p w14:paraId="6E56C8A8" w14:textId="4DD78533" w:rsidR="00282367" w:rsidRDefault="006E18EF" w:rsidP="00282367">
      <w:pPr>
        <w:tabs>
          <w:tab w:val="left" w:pos="2430"/>
        </w:tabs>
      </w:pPr>
      <w:r>
        <w:tab/>
      </w:r>
    </w:p>
    <w:p w14:paraId="6F9A841E" w14:textId="77777777" w:rsidR="009C0FFB" w:rsidRDefault="009C0FFB" w:rsidP="00282367">
      <w:pPr>
        <w:spacing w:before="120" w:after="120"/>
        <w:rPr>
          <w:rFonts w:ascii="Arial" w:hAnsi="Arial" w:cs="Arial"/>
          <w:color w:val="000000"/>
          <w:sz w:val="24"/>
        </w:rPr>
      </w:pPr>
    </w:p>
    <w:p w14:paraId="34B5B691" w14:textId="77777777" w:rsidR="009C0FFB" w:rsidRDefault="009C0FFB" w:rsidP="00282367">
      <w:pPr>
        <w:spacing w:before="120" w:after="120"/>
        <w:rPr>
          <w:rFonts w:ascii="Arial" w:hAnsi="Arial" w:cs="Arial"/>
          <w:color w:val="000000"/>
          <w:sz w:val="24"/>
        </w:rPr>
      </w:pPr>
    </w:p>
    <w:tbl>
      <w:tblPr>
        <w:tblW w:w="10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6"/>
      </w:tblGrid>
      <w:tr w:rsidR="009C0FFB" w:rsidRPr="009C0FFB" w14:paraId="7E2D21A2" w14:textId="77777777" w:rsidTr="009C0FFB">
        <w:tblPrEx>
          <w:tblCellMar>
            <w:top w:w="0" w:type="dxa"/>
            <w:bottom w:w="0" w:type="dxa"/>
          </w:tblCellMar>
        </w:tblPrEx>
        <w:trPr>
          <w:trHeight w:val="233"/>
          <w:jc w:val="center"/>
        </w:trPr>
        <w:tc>
          <w:tcPr>
            <w:tcW w:w="10086" w:type="dxa"/>
            <w:shd w:val="clear" w:color="auto" w:fill="006793"/>
          </w:tcPr>
          <w:p w14:paraId="7FAF2BB8" w14:textId="77777777" w:rsidR="009C0FFB" w:rsidRPr="009C0FFB" w:rsidRDefault="009C0FFB" w:rsidP="009C0FFB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C0FFB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Übersicht: Die zentralen Personalkennzahlen für Heimleitungen</w:t>
            </w:r>
          </w:p>
        </w:tc>
      </w:tr>
      <w:tr w:rsidR="009C0FFB" w:rsidRPr="009C0FFB" w14:paraId="01FB1E52" w14:textId="77777777" w:rsidTr="009C0FFB">
        <w:tblPrEx>
          <w:tblCellMar>
            <w:top w:w="0" w:type="dxa"/>
            <w:bottom w:w="0" w:type="dxa"/>
          </w:tblCellMar>
        </w:tblPrEx>
        <w:trPr>
          <w:trHeight w:val="351"/>
          <w:jc w:val="center"/>
        </w:trPr>
        <w:tc>
          <w:tcPr>
            <w:tcW w:w="10086" w:type="dxa"/>
          </w:tcPr>
          <w:p w14:paraId="2470445B" w14:textId="77777777" w:rsidR="009C0FFB" w:rsidRPr="009C0FFB" w:rsidRDefault="009C0FFB" w:rsidP="009C0FFB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9C0FFB">
              <w:rPr>
                <w:rFonts w:ascii="Arial" w:hAnsi="Arial" w:cs="Arial"/>
                <w:color w:val="000000"/>
                <w:sz w:val="24"/>
              </w:rPr>
              <w:t>Nicht jede Zahl ist relevant. Für die Steuerung im Alltag haben sich einige Kennzahlen besonders bewährt:</w:t>
            </w:r>
          </w:p>
        </w:tc>
      </w:tr>
      <w:tr w:rsidR="009C0FFB" w:rsidRPr="009C0FFB" w14:paraId="780935F7" w14:textId="77777777" w:rsidTr="009C0FFB">
        <w:tblPrEx>
          <w:tblCellMar>
            <w:top w:w="0" w:type="dxa"/>
            <w:bottom w:w="0" w:type="dxa"/>
          </w:tblCellMar>
        </w:tblPrEx>
        <w:trPr>
          <w:trHeight w:val="351"/>
          <w:jc w:val="center"/>
        </w:trPr>
        <w:tc>
          <w:tcPr>
            <w:tcW w:w="10086" w:type="dxa"/>
            <w:shd w:val="clear" w:color="auto" w:fill="FCCBA2"/>
          </w:tcPr>
          <w:p w14:paraId="45DE30F6" w14:textId="2F58B4EB" w:rsidR="009C0FFB" w:rsidRPr="009C0FFB" w:rsidRDefault="009C0FFB" w:rsidP="009C0FFB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9C0FFB">
              <w:rPr>
                <w:rFonts w:ascii="Arial" w:hAnsi="Arial" w:cs="Arial"/>
                <w:b/>
                <w:bCs/>
                <w:color w:val="000000"/>
                <w:sz w:val="24"/>
              </w:rPr>
              <w:t>Fluktuationsquote</w:t>
            </w:r>
          </w:p>
        </w:tc>
      </w:tr>
      <w:tr w:rsidR="009C0FFB" w:rsidRPr="009C0FFB" w14:paraId="01ED44D0" w14:textId="77777777" w:rsidTr="009C0FFB">
        <w:tblPrEx>
          <w:tblCellMar>
            <w:top w:w="0" w:type="dxa"/>
            <w:bottom w:w="0" w:type="dxa"/>
          </w:tblCellMar>
        </w:tblPrEx>
        <w:trPr>
          <w:trHeight w:val="590"/>
          <w:jc w:val="center"/>
        </w:trPr>
        <w:tc>
          <w:tcPr>
            <w:tcW w:w="10086" w:type="dxa"/>
          </w:tcPr>
          <w:p w14:paraId="7C8B2A93" w14:textId="77777777" w:rsidR="009C0FFB" w:rsidRPr="009C0FFB" w:rsidRDefault="009C0FFB" w:rsidP="009C0FFB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9C0FFB">
              <w:rPr>
                <w:rFonts w:ascii="Arial" w:hAnsi="Arial" w:cs="Arial"/>
                <w:color w:val="000000"/>
                <w:sz w:val="24"/>
              </w:rPr>
              <w:t>Sie zeigt, wie stabil Ihre Personalstruktur ist. Wichtig ist dabei nicht nur der Gesamtwert, sondern auch die Differenzierung nach Berufsgruppen, Bereichen und Beschäftigungsdauer.</w:t>
            </w:r>
          </w:p>
        </w:tc>
      </w:tr>
      <w:tr w:rsidR="009C0FFB" w:rsidRPr="009C0FFB" w14:paraId="2C1D930B" w14:textId="77777777" w:rsidTr="009C0FFB">
        <w:tblPrEx>
          <w:tblCellMar>
            <w:top w:w="0" w:type="dxa"/>
            <w:bottom w:w="0" w:type="dxa"/>
          </w:tblCellMar>
        </w:tblPrEx>
        <w:trPr>
          <w:trHeight w:val="156"/>
          <w:jc w:val="center"/>
        </w:trPr>
        <w:tc>
          <w:tcPr>
            <w:tcW w:w="10086" w:type="dxa"/>
            <w:shd w:val="clear" w:color="auto" w:fill="FCCBA2"/>
          </w:tcPr>
          <w:p w14:paraId="11E57DF3" w14:textId="62C2FB84" w:rsidR="009C0FFB" w:rsidRPr="009C0FFB" w:rsidRDefault="009C0FFB" w:rsidP="009C0FFB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9C0FFB">
              <w:rPr>
                <w:rFonts w:ascii="Arial" w:hAnsi="Arial" w:cs="Arial"/>
                <w:b/>
                <w:bCs/>
                <w:color w:val="000000"/>
                <w:sz w:val="24"/>
              </w:rPr>
              <w:t>Krankenstand</w:t>
            </w:r>
          </w:p>
        </w:tc>
      </w:tr>
      <w:tr w:rsidR="009C0FFB" w:rsidRPr="009C0FFB" w14:paraId="4B443789" w14:textId="77777777" w:rsidTr="009C0FFB">
        <w:tblPrEx>
          <w:tblCellMar>
            <w:top w:w="0" w:type="dxa"/>
            <w:bottom w:w="0" w:type="dxa"/>
          </w:tblCellMar>
        </w:tblPrEx>
        <w:trPr>
          <w:trHeight w:val="590"/>
          <w:jc w:val="center"/>
        </w:trPr>
        <w:tc>
          <w:tcPr>
            <w:tcW w:w="10086" w:type="dxa"/>
          </w:tcPr>
          <w:p w14:paraId="68882D71" w14:textId="77777777" w:rsidR="009C0FFB" w:rsidRPr="009C0FFB" w:rsidRDefault="009C0FFB" w:rsidP="009C0FFB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9C0FFB">
              <w:rPr>
                <w:rFonts w:ascii="Arial" w:hAnsi="Arial" w:cs="Arial"/>
                <w:color w:val="000000"/>
                <w:sz w:val="24"/>
              </w:rPr>
              <w:t>Ein dauerhaft erhöhter Krankenstand ist selten Zufall. Er weist auf Überlastung, organisatorische Probleme oder Führungsdefizite hin. Auch hier muss nach Bereichen differenziert werden.</w:t>
            </w:r>
          </w:p>
        </w:tc>
      </w:tr>
      <w:tr w:rsidR="009C0FFB" w:rsidRPr="009C0FFB" w14:paraId="5A8C0AFC" w14:textId="77777777" w:rsidTr="009C0FFB">
        <w:tblPrEx>
          <w:tblCellMar>
            <w:top w:w="0" w:type="dxa"/>
            <w:bottom w:w="0" w:type="dxa"/>
          </w:tblCellMar>
        </w:tblPrEx>
        <w:trPr>
          <w:trHeight w:val="188"/>
          <w:jc w:val="center"/>
        </w:trPr>
        <w:tc>
          <w:tcPr>
            <w:tcW w:w="10086" w:type="dxa"/>
            <w:shd w:val="clear" w:color="auto" w:fill="FCCBA2"/>
          </w:tcPr>
          <w:p w14:paraId="14068E41" w14:textId="774BFB4A" w:rsidR="009C0FFB" w:rsidRPr="009C0FFB" w:rsidRDefault="009C0FFB" w:rsidP="009C0FFB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9C0FFB">
              <w:rPr>
                <w:rFonts w:ascii="Arial" w:hAnsi="Arial" w:cs="Arial"/>
                <w:b/>
                <w:bCs/>
                <w:color w:val="000000"/>
                <w:sz w:val="24"/>
              </w:rPr>
              <w:t>Besetzungsquote</w:t>
            </w:r>
          </w:p>
        </w:tc>
      </w:tr>
      <w:tr w:rsidR="009C0FFB" w:rsidRPr="009C0FFB" w14:paraId="674A9DEB" w14:textId="77777777" w:rsidTr="009C0FFB">
        <w:tblPrEx>
          <w:tblCellMar>
            <w:top w:w="0" w:type="dxa"/>
            <w:bottom w:w="0" w:type="dxa"/>
          </w:tblCellMar>
        </w:tblPrEx>
        <w:trPr>
          <w:trHeight w:val="471"/>
          <w:jc w:val="center"/>
        </w:trPr>
        <w:tc>
          <w:tcPr>
            <w:tcW w:w="10086" w:type="dxa"/>
          </w:tcPr>
          <w:p w14:paraId="6828261A" w14:textId="77777777" w:rsidR="009C0FFB" w:rsidRPr="009C0FFB" w:rsidRDefault="009C0FFB" w:rsidP="009C0FFB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9C0FFB">
              <w:rPr>
                <w:rFonts w:ascii="Arial" w:hAnsi="Arial" w:cs="Arial"/>
                <w:color w:val="000000"/>
                <w:sz w:val="24"/>
              </w:rPr>
              <w:t>Sie macht sichtbar, ob Stellen dauerhaft unbesetzt bleiben und wie hoch der strukturelle Personalmangel tatsächlich ist.</w:t>
            </w:r>
          </w:p>
        </w:tc>
      </w:tr>
      <w:tr w:rsidR="009C0FFB" w:rsidRPr="009C0FFB" w14:paraId="07E5FC77" w14:textId="77777777" w:rsidTr="009C0FFB">
        <w:tblPrEx>
          <w:tblCellMar>
            <w:top w:w="0" w:type="dxa"/>
            <w:bottom w:w="0" w:type="dxa"/>
          </w:tblCellMar>
        </w:tblPrEx>
        <w:trPr>
          <w:trHeight w:val="471"/>
          <w:jc w:val="center"/>
        </w:trPr>
        <w:tc>
          <w:tcPr>
            <w:tcW w:w="10086" w:type="dxa"/>
            <w:shd w:val="clear" w:color="auto" w:fill="FCCBA2"/>
          </w:tcPr>
          <w:p w14:paraId="0F95FBB5" w14:textId="7A93DE5E" w:rsidR="009C0FFB" w:rsidRPr="009C0FFB" w:rsidRDefault="009C0FFB" w:rsidP="009C0FFB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9C0FFB">
              <w:rPr>
                <w:rFonts w:ascii="Arial" w:hAnsi="Arial" w:cs="Arial"/>
                <w:b/>
                <w:bCs/>
                <w:color w:val="000000"/>
                <w:sz w:val="24"/>
              </w:rPr>
              <w:t>Überstunden und Mehrarbeit</w:t>
            </w:r>
          </w:p>
        </w:tc>
      </w:tr>
      <w:tr w:rsidR="009C0FFB" w:rsidRPr="009C0FFB" w14:paraId="545B930A" w14:textId="77777777" w:rsidTr="009C0FFB">
        <w:tblPrEx>
          <w:tblCellMar>
            <w:top w:w="0" w:type="dxa"/>
            <w:bottom w:w="0" w:type="dxa"/>
          </w:tblCellMar>
        </w:tblPrEx>
        <w:trPr>
          <w:trHeight w:val="471"/>
          <w:jc w:val="center"/>
        </w:trPr>
        <w:tc>
          <w:tcPr>
            <w:tcW w:w="10086" w:type="dxa"/>
          </w:tcPr>
          <w:p w14:paraId="713333EA" w14:textId="77777777" w:rsidR="009C0FFB" w:rsidRPr="009C0FFB" w:rsidRDefault="009C0FFB" w:rsidP="009C0FFB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9C0FFB">
              <w:rPr>
                <w:rFonts w:ascii="Arial" w:hAnsi="Arial" w:cs="Arial"/>
                <w:color w:val="000000"/>
                <w:sz w:val="24"/>
              </w:rPr>
              <w:t>Diese Kennzahl ist ein Frühindikator für Überlastung – lange bevor sich diese im Krankenstand nieder</w:t>
            </w:r>
            <w:r w:rsidRPr="009C0FFB">
              <w:rPr>
                <w:rFonts w:ascii="Arial" w:hAnsi="Arial" w:cs="Arial"/>
                <w:color w:val="000000"/>
                <w:sz w:val="24"/>
              </w:rPr>
              <w:softHyphen/>
              <w:t>schlägt.</w:t>
            </w:r>
          </w:p>
        </w:tc>
      </w:tr>
      <w:tr w:rsidR="009C0FFB" w:rsidRPr="009C0FFB" w14:paraId="1EC61097" w14:textId="77777777" w:rsidTr="009C0FFB">
        <w:tblPrEx>
          <w:tblCellMar>
            <w:top w:w="0" w:type="dxa"/>
            <w:bottom w:w="0" w:type="dxa"/>
          </w:tblCellMar>
        </w:tblPrEx>
        <w:trPr>
          <w:trHeight w:val="471"/>
          <w:jc w:val="center"/>
        </w:trPr>
        <w:tc>
          <w:tcPr>
            <w:tcW w:w="10086" w:type="dxa"/>
            <w:shd w:val="clear" w:color="auto" w:fill="FCCBA2"/>
          </w:tcPr>
          <w:p w14:paraId="01D335DD" w14:textId="5C9ED3AB" w:rsidR="009C0FFB" w:rsidRPr="009C0FFB" w:rsidRDefault="009C0FFB" w:rsidP="009C0FFB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9C0FFB">
              <w:rPr>
                <w:rFonts w:ascii="Arial" w:hAnsi="Arial" w:cs="Arial"/>
                <w:b/>
                <w:bCs/>
                <w:color w:val="000000"/>
                <w:sz w:val="24"/>
              </w:rPr>
              <w:t>Fort- und Weiterbildungsquote</w:t>
            </w:r>
          </w:p>
        </w:tc>
      </w:tr>
      <w:tr w:rsidR="009C0FFB" w:rsidRPr="009C0FFB" w14:paraId="005E9A73" w14:textId="77777777" w:rsidTr="009C0FFB">
        <w:tblPrEx>
          <w:tblCellMar>
            <w:top w:w="0" w:type="dxa"/>
            <w:bottom w:w="0" w:type="dxa"/>
          </w:tblCellMar>
        </w:tblPrEx>
        <w:trPr>
          <w:trHeight w:val="353"/>
          <w:jc w:val="center"/>
        </w:trPr>
        <w:tc>
          <w:tcPr>
            <w:tcW w:w="10086" w:type="dxa"/>
          </w:tcPr>
          <w:p w14:paraId="16742290" w14:textId="77777777" w:rsidR="009C0FFB" w:rsidRPr="009C0FFB" w:rsidRDefault="009C0FFB" w:rsidP="009C0FFB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9C0FFB">
              <w:rPr>
                <w:rFonts w:ascii="Arial" w:hAnsi="Arial" w:cs="Arial"/>
                <w:color w:val="000000"/>
                <w:sz w:val="24"/>
              </w:rPr>
              <w:t>Sie zeigt, ob Sie Ihre Einrichtung zukunftsfähig aufstellen oder lediglich den Status quo verwalten.</w:t>
            </w:r>
          </w:p>
        </w:tc>
      </w:tr>
      <w:tr w:rsidR="009C0FFB" w:rsidRPr="009C0FFB" w14:paraId="6E552D30" w14:textId="77777777" w:rsidTr="009C0FFB">
        <w:tblPrEx>
          <w:tblCellMar>
            <w:top w:w="0" w:type="dxa"/>
            <w:bottom w:w="0" w:type="dxa"/>
          </w:tblCellMar>
        </w:tblPrEx>
        <w:trPr>
          <w:trHeight w:val="351"/>
          <w:jc w:val="center"/>
        </w:trPr>
        <w:tc>
          <w:tcPr>
            <w:tcW w:w="10086" w:type="dxa"/>
          </w:tcPr>
          <w:p w14:paraId="4857E0BA" w14:textId="77777777" w:rsidR="009C0FFB" w:rsidRPr="009C0FFB" w:rsidRDefault="009C0FFB" w:rsidP="009C0FFB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9C0FFB">
              <w:rPr>
                <w:rFonts w:ascii="Arial" w:hAnsi="Arial" w:cs="Arial"/>
                <w:color w:val="000000"/>
                <w:sz w:val="24"/>
              </w:rPr>
              <w:t>Entscheidend ist: Diese Kennzahlen müssen regel</w:t>
            </w:r>
            <w:r w:rsidRPr="009C0FFB">
              <w:rPr>
                <w:rFonts w:ascii="Arial" w:hAnsi="Arial" w:cs="Arial"/>
                <w:color w:val="000000"/>
                <w:sz w:val="24"/>
              </w:rPr>
              <w:softHyphen/>
              <w:t xml:space="preserve">mäßig, idealerweise monatlich oder quartalsweise, erhoben und gemeinsam betrachtet werden. </w:t>
            </w:r>
          </w:p>
        </w:tc>
      </w:tr>
    </w:tbl>
    <w:p w14:paraId="6D789AB3" w14:textId="77777777" w:rsidR="009C0FFB" w:rsidRPr="00282367" w:rsidRDefault="009C0FFB" w:rsidP="00282367">
      <w:pPr>
        <w:spacing w:before="120" w:after="120"/>
        <w:rPr>
          <w:rFonts w:ascii="Arial" w:hAnsi="Arial" w:cs="Arial"/>
          <w:color w:val="000000"/>
          <w:sz w:val="24"/>
        </w:rPr>
      </w:pPr>
    </w:p>
    <w:sectPr w:rsidR="009C0FFB" w:rsidRPr="00282367" w:rsidSect="00496C3D">
      <w:headerReference w:type="default" r:id="rId9"/>
      <w:pgSz w:w="11906" w:h="16838" w:code="9"/>
      <w:pgMar w:top="-576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9468F" w14:textId="77777777" w:rsidR="00D91C41" w:rsidRDefault="00D91C41" w:rsidP="002A5D13">
      <w:pPr>
        <w:spacing w:after="0" w:line="240" w:lineRule="auto"/>
      </w:pPr>
      <w:r>
        <w:separator/>
      </w:r>
    </w:p>
  </w:endnote>
  <w:endnote w:type="continuationSeparator" w:id="0">
    <w:p w14:paraId="57CF8618" w14:textId="77777777" w:rsidR="00D91C41" w:rsidRDefault="00D91C41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D717F" w14:textId="77777777" w:rsidR="00D91C41" w:rsidRDefault="00D91C41" w:rsidP="002A5D13">
      <w:pPr>
        <w:spacing w:after="0" w:line="240" w:lineRule="auto"/>
      </w:pPr>
      <w:r>
        <w:separator/>
      </w:r>
    </w:p>
  </w:footnote>
  <w:footnote w:type="continuationSeparator" w:id="0">
    <w:p w14:paraId="126505E2" w14:textId="77777777" w:rsidR="00D91C41" w:rsidRDefault="00D91C41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3A2340DF" w14:textId="4374C2B7" w:rsidR="007A7CA7" w:rsidRDefault="009908DD" w:rsidP="00332CA1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AB1A45">
            <w:rPr>
              <w:b/>
              <w:color w:val="FFFFFF"/>
              <w:sz w:val="24"/>
            </w:rPr>
            <w:t>0</w:t>
          </w:r>
          <w:r w:rsidR="00FE5CC6">
            <w:rPr>
              <w:b/>
              <w:color w:val="FFFFFF"/>
              <w:sz w:val="24"/>
            </w:rPr>
            <w:t>8</w:t>
          </w:r>
          <w:r>
            <w:rPr>
              <w:b/>
              <w:color w:val="FFFFFF"/>
              <w:sz w:val="24"/>
            </w:rPr>
            <w:t xml:space="preserve"> </w:t>
          </w:r>
          <w:r w:rsidR="00304B6F">
            <w:rPr>
              <w:b/>
              <w:color w:val="FFFFFF"/>
              <w:sz w:val="24"/>
            </w:rPr>
            <w:t>–</w:t>
          </w:r>
          <w:r>
            <w:rPr>
              <w:b/>
              <w:color w:val="FFFFFF"/>
              <w:sz w:val="24"/>
            </w:rPr>
            <w:t xml:space="preserve">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</w:p>
        <w:p w14:paraId="6ABA9FFE" w14:textId="59F0E7E0" w:rsidR="00304B6F" w:rsidRPr="007A7CA7" w:rsidRDefault="00304B6F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</w:rPr>
            <w:t>TH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52248150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98885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A5117F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AF819E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C7BB25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0BDD3B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3AC9DE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D91FA3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BEC1917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4656D4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CE08DC2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DCD20CB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12595A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FDC884C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4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5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6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7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014A2F5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21947E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A38993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107FA5"/>
    <w:multiLevelType w:val="hybridMultilevel"/>
    <w:tmpl w:val="5E9294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C11640F"/>
    <w:multiLevelType w:val="hybridMultilevel"/>
    <w:tmpl w:val="F87408DC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17B0D2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27941F9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28E8F67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2A48300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64BF4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F948AE"/>
    <w:multiLevelType w:val="hybridMultilevel"/>
    <w:tmpl w:val="6CA8DE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7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8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9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40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41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42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43" w15:restartNumberingAfterBreak="0">
    <w:nsid w:val="531B0D16"/>
    <w:multiLevelType w:val="hybridMultilevel"/>
    <w:tmpl w:val="4F5041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140B83"/>
    <w:multiLevelType w:val="hybridMultilevel"/>
    <w:tmpl w:val="B98CE3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C9F075A"/>
    <w:multiLevelType w:val="hybridMultilevel"/>
    <w:tmpl w:val="5E0083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C058E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 w15:restartNumberingAfterBreak="0">
    <w:nsid w:val="747165EE"/>
    <w:multiLevelType w:val="hybridMultilevel"/>
    <w:tmpl w:val="3A8A53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32"/>
  </w:num>
  <w:num w:numId="2" w16cid:durableId="1804158717">
    <w:abstractNumId w:val="44"/>
  </w:num>
  <w:num w:numId="3" w16cid:durableId="1548251974">
    <w:abstractNumId w:val="50"/>
  </w:num>
  <w:num w:numId="4" w16cid:durableId="869875702">
    <w:abstractNumId w:val="33"/>
  </w:num>
  <w:num w:numId="5" w16cid:durableId="1526597782">
    <w:abstractNumId w:val="22"/>
  </w:num>
  <w:num w:numId="6" w16cid:durableId="867765150">
    <w:abstractNumId w:val="29"/>
  </w:num>
  <w:num w:numId="7" w16cid:durableId="1798405097">
    <w:abstractNumId w:val="36"/>
  </w:num>
  <w:num w:numId="8" w16cid:durableId="388921494">
    <w:abstractNumId w:val="34"/>
  </w:num>
  <w:num w:numId="9" w16cid:durableId="1308784843">
    <w:abstractNumId w:val="31"/>
  </w:num>
  <w:num w:numId="10" w16cid:durableId="998121745">
    <w:abstractNumId w:val="20"/>
  </w:num>
  <w:num w:numId="11" w16cid:durableId="1808205416">
    <w:abstractNumId w:val="47"/>
  </w:num>
  <w:num w:numId="12" w16cid:durableId="210113988">
    <w:abstractNumId w:val="38"/>
  </w:num>
  <w:num w:numId="13" w16cid:durableId="1970042432">
    <w:abstractNumId w:val="39"/>
  </w:num>
  <w:num w:numId="14" w16cid:durableId="1035348882">
    <w:abstractNumId w:val="37"/>
  </w:num>
  <w:num w:numId="15" w16cid:durableId="300035607">
    <w:abstractNumId w:val="40"/>
  </w:num>
  <w:num w:numId="16" w16cid:durableId="978144461">
    <w:abstractNumId w:val="41"/>
  </w:num>
  <w:num w:numId="17" w16cid:durableId="638414688">
    <w:abstractNumId w:val="42"/>
  </w:num>
  <w:num w:numId="18" w16cid:durableId="1809593188">
    <w:abstractNumId w:val="17"/>
  </w:num>
  <w:num w:numId="19" w16cid:durableId="310256859">
    <w:abstractNumId w:val="16"/>
  </w:num>
  <w:num w:numId="20" w16cid:durableId="484276499">
    <w:abstractNumId w:val="15"/>
  </w:num>
  <w:num w:numId="21" w16cid:durableId="542445318">
    <w:abstractNumId w:val="14"/>
  </w:num>
  <w:num w:numId="22" w16cid:durableId="688532022">
    <w:abstractNumId w:val="13"/>
  </w:num>
  <w:num w:numId="23" w16cid:durableId="963972485">
    <w:abstractNumId w:val="46"/>
  </w:num>
  <w:num w:numId="24" w16cid:durableId="1128202271">
    <w:abstractNumId w:val="27"/>
  </w:num>
  <w:num w:numId="25" w16cid:durableId="1319767686">
    <w:abstractNumId w:val="25"/>
  </w:num>
  <w:num w:numId="26" w16cid:durableId="1619798079">
    <w:abstractNumId w:val="12"/>
  </w:num>
  <w:num w:numId="27" w16cid:durableId="1068305225">
    <w:abstractNumId w:val="7"/>
  </w:num>
  <w:num w:numId="28" w16cid:durableId="618948198">
    <w:abstractNumId w:val="6"/>
  </w:num>
  <w:num w:numId="29" w16cid:durableId="759912456">
    <w:abstractNumId w:val="48"/>
  </w:num>
  <w:num w:numId="30" w16cid:durableId="48845790">
    <w:abstractNumId w:val="21"/>
  </w:num>
  <w:num w:numId="31" w16cid:durableId="465588059">
    <w:abstractNumId w:val="23"/>
  </w:num>
  <w:num w:numId="32" w16cid:durableId="2038190710">
    <w:abstractNumId w:val="35"/>
  </w:num>
  <w:num w:numId="33" w16cid:durableId="657852600">
    <w:abstractNumId w:val="49"/>
  </w:num>
  <w:num w:numId="34" w16cid:durableId="625082980">
    <w:abstractNumId w:val="30"/>
  </w:num>
  <w:num w:numId="35" w16cid:durableId="1850757751">
    <w:abstractNumId w:val="4"/>
  </w:num>
  <w:num w:numId="36" w16cid:durableId="2001156068">
    <w:abstractNumId w:val="8"/>
  </w:num>
  <w:num w:numId="37" w16cid:durableId="1831363561">
    <w:abstractNumId w:val="5"/>
  </w:num>
  <w:num w:numId="38" w16cid:durableId="1062096860">
    <w:abstractNumId w:val="2"/>
  </w:num>
  <w:num w:numId="39" w16cid:durableId="2097169810">
    <w:abstractNumId w:val="19"/>
  </w:num>
  <w:num w:numId="40" w16cid:durableId="1068453462">
    <w:abstractNumId w:val="11"/>
  </w:num>
  <w:num w:numId="41" w16cid:durableId="763038458">
    <w:abstractNumId w:val="45"/>
  </w:num>
  <w:num w:numId="42" w16cid:durableId="446701388">
    <w:abstractNumId w:val="9"/>
  </w:num>
  <w:num w:numId="43" w16cid:durableId="1018001051">
    <w:abstractNumId w:val="10"/>
  </w:num>
  <w:num w:numId="44" w16cid:durableId="1577087593">
    <w:abstractNumId w:val="24"/>
  </w:num>
  <w:num w:numId="45" w16cid:durableId="1910965366">
    <w:abstractNumId w:val="3"/>
  </w:num>
  <w:num w:numId="46" w16cid:durableId="1510363138">
    <w:abstractNumId w:val="1"/>
  </w:num>
  <w:num w:numId="47" w16cid:durableId="365178293">
    <w:abstractNumId w:val="28"/>
  </w:num>
  <w:num w:numId="48" w16cid:durableId="1018652787">
    <w:abstractNumId w:val="18"/>
  </w:num>
  <w:num w:numId="49" w16cid:durableId="1046679176">
    <w:abstractNumId w:val="0"/>
  </w:num>
  <w:num w:numId="50" w16cid:durableId="624123083">
    <w:abstractNumId w:val="26"/>
  </w:num>
  <w:num w:numId="51" w16cid:durableId="159273831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43D60"/>
    <w:rsid w:val="00075BC0"/>
    <w:rsid w:val="000779E6"/>
    <w:rsid w:val="00092CAA"/>
    <w:rsid w:val="000B50CC"/>
    <w:rsid w:val="000C6A2D"/>
    <w:rsid w:val="00111E67"/>
    <w:rsid w:val="0015409B"/>
    <w:rsid w:val="001A70C9"/>
    <w:rsid w:val="001B429B"/>
    <w:rsid w:val="00205D0C"/>
    <w:rsid w:val="00220A6D"/>
    <w:rsid w:val="00221BA5"/>
    <w:rsid w:val="00253097"/>
    <w:rsid w:val="0027096C"/>
    <w:rsid w:val="002766CF"/>
    <w:rsid w:val="00282367"/>
    <w:rsid w:val="0028515F"/>
    <w:rsid w:val="00287D7D"/>
    <w:rsid w:val="0029109D"/>
    <w:rsid w:val="002A5D13"/>
    <w:rsid w:val="002B029B"/>
    <w:rsid w:val="002B4419"/>
    <w:rsid w:val="002D45E4"/>
    <w:rsid w:val="002E4378"/>
    <w:rsid w:val="00304B6F"/>
    <w:rsid w:val="00306FA9"/>
    <w:rsid w:val="003164EF"/>
    <w:rsid w:val="00332CA1"/>
    <w:rsid w:val="00345343"/>
    <w:rsid w:val="003511D4"/>
    <w:rsid w:val="00357ADA"/>
    <w:rsid w:val="003615F4"/>
    <w:rsid w:val="003676E3"/>
    <w:rsid w:val="00380EF0"/>
    <w:rsid w:val="003A4ED1"/>
    <w:rsid w:val="003E3400"/>
    <w:rsid w:val="00433F51"/>
    <w:rsid w:val="0045558D"/>
    <w:rsid w:val="004639C0"/>
    <w:rsid w:val="004955F6"/>
    <w:rsid w:val="00496C3D"/>
    <w:rsid w:val="004A47F9"/>
    <w:rsid w:val="004C2396"/>
    <w:rsid w:val="0050689E"/>
    <w:rsid w:val="00534FB6"/>
    <w:rsid w:val="00535E20"/>
    <w:rsid w:val="00551B88"/>
    <w:rsid w:val="0055645B"/>
    <w:rsid w:val="00587D31"/>
    <w:rsid w:val="00614D0A"/>
    <w:rsid w:val="00653E72"/>
    <w:rsid w:val="00661981"/>
    <w:rsid w:val="0066479A"/>
    <w:rsid w:val="006A5CFE"/>
    <w:rsid w:val="006B797D"/>
    <w:rsid w:val="006E18EF"/>
    <w:rsid w:val="00725FA4"/>
    <w:rsid w:val="00747C9D"/>
    <w:rsid w:val="007A7CA7"/>
    <w:rsid w:val="007B0290"/>
    <w:rsid w:val="007C0AE5"/>
    <w:rsid w:val="007D58D2"/>
    <w:rsid w:val="007E1A2E"/>
    <w:rsid w:val="00810CD0"/>
    <w:rsid w:val="00841FA8"/>
    <w:rsid w:val="008522CE"/>
    <w:rsid w:val="00852BFB"/>
    <w:rsid w:val="00860ECB"/>
    <w:rsid w:val="008633AC"/>
    <w:rsid w:val="008838E4"/>
    <w:rsid w:val="00887070"/>
    <w:rsid w:val="008B1F83"/>
    <w:rsid w:val="008B7A2C"/>
    <w:rsid w:val="008B7EA5"/>
    <w:rsid w:val="008C0D29"/>
    <w:rsid w:val="008E3374"/>
    <w:rsid w:val="008E4B8D"/>
    <w:rsid w:val="008E62B1"/>
    <w:rsid w:val="008F54DB"/>
    <w:rsid w:val="00937B0B"/>
    <w:rsid w:val="0094172F"/>
    <w:rsid w:val="009433D9"/>
    <w:rsid w:val="00983536"/>
    <w:rsid w:val="009908DD"/>
    <w:rsid w:val="009B35E9"/>
    <w:rsid w:val="009B721F"/>
    <w:rsid w:val="009C0FFB"/>
    <w:rsid w:val="009E79DF"/>
    <w:rsid w:val="00A06C64"/>
    <w:rsid w:val="00A24EA3"/>
    <w:rsid w:val="00A24F05"/>
    <w:rsid w:val="00AB1A45"/>
    <w:rsid w:val="00AC4A16"/>
    <w:rsid w:val="00AF1D55"/>
    <w:rsid w:val="00B01FFE"/>
    <w:rsid w:val="00B707AF"/>
    <w:rsid w:val="00B77525"/>
    <w:rsid w:val="00B87D52"/>
    <w:rsid w:val="00BB2A0A"/>
    <w:rsid w:val="00BB367A"/>
    <w:rsid w:val="00BD71E9"/>
    <w:rsid w:val="00BF7A72"/>
    <w:rsid w:val="00C310AF"/>
    <w:rsid w:val="00C73E1A"/>
    <w:rsid w:val="00CC38C8"/>
    <w:rsid w:val="00CF7045"/>
    <w:rsid w:val="00D758F4"/>
    <w:rsid w:val="00D91C41"/>
    <w:rsid w:val="00DB32C7"/>
    <w:rsid w:val="00E2265E"/>
    <w:rsid w:val="00E26939"/>
    <w:rsid w:val="00E353A3"/>
    <w:rsid w:val="00EC24AC"/>
    <w:rsid w:val="00EC3153"/>
    <w:rsid w:val="00F20663"/>
    <w:rsid w:val="00F27330"/>
    <w:rsid w:val="00F43559"/>
    <w:rsid w:val="00F67258"/>
    <w:rsid w:val="00F82C0D"/>
    <w:rsid w:val="00FA19D7"/>
    <w:rsid w:val="00FC1C56"/>
    <w:rsid w:val="00FC278E"/>
    <w:rsid w:val="00FE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15">
    <w:name w:val="Pa15"/>
    <w:basedOn w:val="Standard"/>
    <w:next w:val="Standard"/>
    <w:uiPriority w:val="99"/>
    <w:rsid w:val="009B35E9"/>
    <w:pPr>
      <w:autoSpaceDE w:val="0"/>
      <w:autoSpaceDN w:val="0"/>
      <w:adjustRightInd w:val="0"/>
      <w:spacing w:after="0" w:line="201" w:lineRule="atLeast"/>
    </w:pPr>
    <w:rPr>
      <w:rFonts w:ascii="Open Sans" w:hAnsi="Open Sans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981</Characters>
  <Application>Microsoft Office Word</Application>
  <DocSecurity>0</DocSecurity>
  <Lines>25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2026-04-02T13:05:00Z</dcterms:created>
  <dcterms:modified xsi:type="dcterms:W3CDTF">2026-04-02T13:05:00Z</dcterms:modified>
</cp:coreProperties>
</file>