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04401A7F" w14:textId="7030ACCB" w:rsidR="009A7EDE" w:rsidRDefault="006E18EF" w:rsidP="009B7323">
      <w:pPr>
        <w:tabs>
          <w:tab w:val="left" w:pos="2430"/>
        </w:tabs>
      </w:pPr>
      <w:r>
        <w:tab/>
      </w:r>
    </w:p>
    <w:p w14:paraId="40D357A7" w14:textId="77777777" w:rsidR="009B7323" w:rsidRDefault="009B7323" w:rsidP="009B7323">
      <w:pPr>
        <w:tabs>
          <w:tab w:val="left" w:pos="2430"/>
        </w:tabs>
      </w:pPr>
    </w:p>
    <w:p w14:paraId="78B0100E" w14:textId="77777777" w:rsidR="009B7323" w:rsidRDefault="009B7323" w:rsidP="00C73E1A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8930"/>
      </w:tblGrid>
      <w:tr w:rsidR="009B7323" w:rsidRPr="009B7323" w14:paraId="31EF45BD" w14:textId="77777777" w:rsidTr="009B7323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10768" w:type="dxa"/>
            <w:gridSpan w:val="2"/>
            <w:shd w:val="clear" w:color="auto" w:fill="006793"/>
          </w:tcPr>
          <w:p w14:paraId="74B72ABB" w14:textId="77777777" w:rsidR="009B7323" w:rsidRPr="009B7323" w:rsidRDefault="009B7323" w:rsidP="009B7323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B7323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Pflichten und Maßnahmen </w:t>
            </w:r>
          </w:p>
        </w:tc>
      </w:tr>
      <w:tr w:rsidR="009B7323" w:rsidRPr="009B7323" w14:paraId="5DCA5FAF" w14:textId="77777777" w:rsidTr="009B7323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1838" w:type="dxa"/>
            <w:shd w:val="clear" w:color="auto" w:fill="FCCBA2"/>
          </w:tcPr>
          <w:p w14:paraId="43533C9A" w14:textId="77777777" w:rsidR="009B7323" w:rsidRPr="009B7323" w:rsidRDefault="009B7323" w:rsidP="009B7323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9B7323"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Bereich </w:t>
            </w:r>
          </w:p>
        </w:tc>
        <w:tc>
          <w:tcPr>
            <w:tcW w:w="8930" w:type="dxa"/>
            <w:shd w:val="clear" w:color="auto" w:fill="FCCBA2"/>
          </w:tcPr>
          <w:p w14:paraId="6B48AAB9" w14:textId="77777777" w:rsidR="009B7323" w:rsidRPr="009B7323" w:rsidRDefault="009B7323" w:rsidP="009B7323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9B7323"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Anforderungen und Handlungspflichten </w:t>
            </w:r>
          </w:p>
        </w:tc>
      </w:tr>
      <w:tr w:rsidR="009B7323" w:rsidRPr="009B7323" w14:paraId="75CF852F" w14:textId="77777777" w:rsidTr="009B7323">
        <w:tblPrEx>
          <w:tblCellMar>
            <w:top w:w="0" w:type="dxa"/>
            <w:bottom w:w="0" w:type="dxa"/>
          </w:tblCellMar>
        </w:tblPrEx>
        <w:trPr>
          <w:trHeight w:val="517"/>
          <w:jc w:val="center"/>
        </w:trPr>
        <w:tc>
          <w:tcPr>
            <w:tcW w:w="1838" w:type="dxa"/>
          </w:tcPr>
          <w:p w14:paraId="37C5ACBE" w14:textId="77777777" w:rsidR="009B7323" w:rsidRPr="009B7323" w:rsidRDefault="009B7323" w:rsidP="009B7323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Prävention </w:t>
            </w:r>
          </w:p>
        </w:tc>
        <w:tc>
          <w:tcPr>
            <w:tcW w:w="8930" w:type="dxa"/>
          </w:tcPr>
          <w:p w14:paraId="29112B85" w14:textId="6FC7795A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Sicherheitsinstrumente mit integriertem Schutzmechanismus bereitstellen </w:t>
            </w:r>
          </w:p>
          <w:p w14:paraId="12BF5819" w14:textId="7E85D84A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9B7323">
              <w:rPr>
                <w:rFonts w:ascii="Arial" w:hAnsi="Arial" w:cs="Arial"/>
                <w:color w:val="000000"/>
                <w:sz w:val="24"/>
              </w:rPr>
              <w:t>Recapping</w:t>
            </w:r>
            <w:proofErr w:type="spellEnd"/>
            <w:r w:rsidRPr="009B7323">
              <w:rPr>
                <w:rFonts w:ascii="Arial" w:hAnsi="Arial" w:cs="Arial"/>
                <w:color w:val="000000"/>
                <w:sz w:val="24"/>
              </w:rPr>
              <w:t xml:space="preserve">-Verbot kommunizieren und durchsetzen und in Unterweisungen verankern </w:t>
            </w:r>
          </w:p>
          <w:p w14:paraId="51A37532" w14:textId="09C2500E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durchstichsichere Abwurfbehälter in unmittelbarer Reichweite aufstellen oder mitführen </w:t>
            </w:r>
          </w:p>
          <w:p w14:paraId="0B8E86A1" w14:textId="26B1B039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Gefährdungsbeurteilung erstellen und alle 2 Jahre aktualisieren </w:t>
            </w:r>
          </w:p>
        </w:tc>
      </w:tr>
      <w:tr w:rsidR="009B7323" w:rsidRPr="009B7323" w14:paraId="410F66AC" w14:textId="77777777" w:rsidTr="009B7323">
        <w:tblPrEx>
          <w:tblCellMar>
            <w:top w:w="0" w:type="dxa"/>
            <w:bottom w:w="0" w:type="dxa"/>
          </w:tblCellMar>
        </w:tblPrEx>
        <w:trPr>
          <w:trHeight w:val="777"/>
          <w:jc w:val="center"/>
        </w:trPr>
        <w:tc>
          <w:tcPr>
            <w:tcW w:w="1838" w:type="dxa"/>
          </w:tcPr>
          <w:p w14:paraId="35354CD8" w14:textId="64C70CF9" w:rsidR="009B7323" w:rsidRPr="009B7323" w:rsidRDefault="009B7323" w:rsidP="009B7323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>Sofort</w:t>
            </w:r>
            <w:r>
              <w:rPr>
                <w:rFonts w:ascii="Arial" w:hAnsi="Arial" w:cs="Arial"/>
                <w:color w:val="000000"/>
                <w:sz w:val="24"/>
              </w:rPr>
              <w:t>-</w:t>
            </w:r>
            <w:proofErr w:type="spellStart"/>
            <w:r w:rsidRPr="009B7323">
              <w:rPr>
                <w:rFonts w:ascii="Arial" w:hAnsi="Arial" w:cs="Arial"/>
                <w:color w:val="000000"/>
                <w:sz w:val="24"/>
              </w:rPr>
              <w:t>maßnahmen</w:t>
            </w:r>
            <w:proofErr w:type="spellEnd"/>
            <w:r w:rsidRPr="009B7323">
              <w:rPr>
                <w:rFonts w:ascii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8930" w:type="dxa"/>
          </w:tcPr>
          <w:p w14:paraId="012D1605" w14:textId="1A7A480D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Wunde bluten lassen, dann gründlich desinfizieren </w:t>
            </w:r>
          </w:p>
          <w:p w14:paraId="39B2611C" w14:textId="6A56AEBC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bei Schleimhautkontakt: sofort ausgiebig spülen </w:t>
            </w:r>
          </w:p>
          <w:p w14:paraId="0B4437DB" w14:textId="4A9FAA57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unverzüglich einen Durchgangsarzt aufsuchen </w:t>
            </w:r>
          </w:p>
          <w:p w14:paraId="531F92D7" w14:textId="072C5403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Infektionsstatus des Indexpatienten klären; ggf. Post-Expositionsprophylaxe (PEP) einleiten </w:t>
            </w:r>
          </w:p>
          <w:p w14:paraId="2DD78B80" w14:textId="06BFCD1C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einrichtungsinternen Notfallplan griffbereit halten </w:t>
            </w:r>
          </w:p>
        </w:tc>
      </w:tr>
      <w:tr w:rsidR="009B7323" w:rsidRPr="009B7323" w14:paraId="6794BE11" w14:textId="77777777" w:rsidTr="009B7323">
        <w:tblPrEx>
          <w:tblCellMar>
            <w:top w:w="0" w:type="dxa"/>
            <w:bottom w:w="0" w:type="dxa"/>
          </w:tblCellMar>
        </w:tblPrEx>
        <w:trPr>
          <w:trHeight w:val="647"/>
          <w:jc w:val="center"/>
        </w:trPr>
        <w:tc>
          <w:tcPr>
            <w:tcW w:w="1838" w:type="dxa"/>
          </w:tcPr>
          <w:p w14:paraId="06E29EAB" w14:textId="77777777" w:rsidR="009B7323" w:rsidRPr="009B7323" w:rsidRDefault="009B7323" w:rsidP="009B7323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Unterweisung </w:t>
            </w:r>
          </w:p>
        </w:tc>
        <w:tc>
          <w:tcPr>
            <w:tcW w:w="8930" w:type="dxa"/>
          </w:tcPr>
          <w:p w14:paraId="3FF33FE5" w14:textId="60A07545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regelmäßige Schulungen für alle Mitarbeiter mit Nadelkontakt – auch Reinigungskräfte und Wäschereimitarbeiter </w:t>
            </w:r>
          </w:p>
          <w:p w14:paraId="71E700D7" w14:textId="1E73EEE4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Unterweisungen schriftlich dokumentieren und gegenzeichnen lassen </w:t>
            </w:r>
          </w:p>
          <w:p w14:paraId="46183157" w14:textId="387FEB55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neue Mitarbeiter vor Einsatzbeginn unterweisen </w:t>
            </w:r>
          </w:p>
          <w:p w14:paraId="3ECD5DD0" w14:textId="0C9E85CE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Zeitdruck als häufigste Unfallursache gezielt thematisieren </w:t>
            </w:r>
          </w:p>
        </w:tc>
      </w:tr>
      <w:tr w:rsidR="009B7323" w:rsidRPr="009B7323" w14:paraId="1C7ACB47" w14:textId="77777777" w:rsidTr="009B7323">
        <w:tblPrEx>
          <w:tblCellMar>
            <w:top w:w="0" w:type="dxa"/>
            <w:bottom w:w="0" w:type="dxa"/>
          </w:tblCellMar>
        </w:tblPrEx>
        <w:trPr>
          <w:trHeight w:val="517"/>
          <w:jc w:val="center"/>
        </w:trPr>
        <w:tc>
          <w:tcPr>
            <w:tcW w:w="1838" w:type="dxa"/>
          </w:tcPr>
          <w:p w14:paraId="504C7348" w14:textId="77777777" w:rsidR="009B7323" w:rsidRPr="009B7323" w:rsidRDefault="009B7323" w:rsidP="009B7323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>Melde</w:t>
            </w:r>
            <w:r w:rsidRPr="009B7323">
              <w:rPr>
                <w:rFonts w:ascii="Arial" w:hAnsi="Arial" w:cs="Arial"/>
                <w:color w:val="000000"/>
                <w:sz w:val="24"/>
              </w:rPr>
              <w:softHyphen/>
              <w:t xml:space="preserve">pflichten </w:t>
            </w:r>
          </w:p>
        </w:tc>
        <w:tc>
          <w:tcPr>
            <w:tcW w:w="8930" w:type="dxa"/>
          </w:tcPr>
          <w:p w14:paraId="413E6F69" w14:textId="02763A12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jede NSV intern dokumentieren (Erfassungsbogen gem. TRBA 250, </w:t>
            </w:r>
            <w:r w:rsidRPr="009B7323">
              <w:rPr>
                <w:rFonts w:ascii="Arial" w:hAnsi="Arial" w:cs="Arial"/>
                <w:color w:val="000000"/>
                <w:sz w:val="24"/>
              </w:rPr>
              <w:t>A</w:t>
            </w:r>
            <w:r w:rsidRPr="009B7323">
              <w:rPr>
                <w:rFonts w:ascii="Arial" w:hAnsi="Arial" w:cs="Arial"/>
                <w:color w:val="000000"/>
                <w:sz w:val="24"/>
              </w:rPr>
              <w:t xml:space="preserve">nhang 6) </w:t>
            </w:r>
          </w:p>
          <w:p w14:paraId="1344DB5A" w14:textId="39978966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BGW-Unfallanzeige bei Arbeitsunfähigkeit über 3 Tage erstatten </w:t>
            </w:r>
          </w:p>
          <w:p w14:paraId="539FB4C1" w14:textId="79A13C69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innerbetriebliches Meldesystem einrichten, Vorfälle anonymisiert auswerten </w:t>
            </w:r>
          </w:p>
          <w:p w14:paraId="0BFDA39F" w14:textId="4E750081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elektronische Meldung über BGW-Onlineportal möglich </w:t>
            </w:r>
          </w:p>
        </w:tc>
      </w:tr>
      <w:tr w:rsidR="009B7323" w:rsidRPr="009B7323" w14:paraId="7D19119B" w14:textId="77777777" w:rsidTr="009B7323">
        <w:tblPrEx>
          <w:tblCellMar>
            <w:top w:w="0" w:type="dxa"/>
            <w:bottom w:w="0" w:type="dxa"/>
          </w:tblCellMar>
        </w:tblPrEx>
        <w:trPr>
          <w:trHeight w:val="777"/>
          <w:jc w:val="center"/>
        </w:trPr>
        <w:tc>
          <w:tcPr>
            <w:tcW w:w="1838" w:type="dxa"/>
          </w:tcPr>
          <w:p w14:paraId="2DD52555" w14:textId="77777777" w:rsidR="009B7323" w:rsidRPr="009B7323" w:rsidRDefault="009B7323" w:rsidP="009B7323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Haftung </w:t>
            </w:r>
          </w:p>
        </w:tc>
        <w:tc>
          <w:tcPr>
            <w:tcW w:w="8930" w:type="dxa"/>
          </w:tcPr>
          <w:p w14:paraId="2F581E13" w14:textId="514E9348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Fehlen Sicherheitsgeräte, haftet die Leitung persönlich – der BGW-Haftungsausschluss (§ 104 SGB VII) greift bei bewusstem Verstoß nicht. </w:t>
            </w:r>
          </w:p>
          <w:p w14:paraId="62868BB4" w14:textId="0739D936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Landesarbeitsgericht Nürnberg, Az. 7 Sa 231/16 (2017): 150.000 € Schmerzensgeld wegen vorsätzlichen Verzichts auf Sicherheitskanülen </w:t>
            </w:r>
          </w:p>
          <w:p w14:paraId="5EAA5932" w14:textId="46FA3115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 xml:space="preserve">BGW übernimmt Nachsorgekosten bei ordnungsgemäß gemeldeten Arbeitsunfällen. </w:t>
            </w:r>
          </w:p>
          <w:p w14:paraId="78DE2407" w14:textId="08A898CA" w:rsidR="009B7323" w:rsidRPr="009B7323" w:rsidRDefault="009B7323" w:rsidP="009B7323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291" w:hanging="219"/>
              <w:rPr>
                <w:rFonts w:ascii="Arial" w:hAnsi="Arial" w:cs="Arial"/>
                <w:color w:val="000000"/>
                <w:sz w:val="24"/>
              </w:rPr>
            </w:pPr>
            <w:r w:rsidRPr="009B7323">
              <w:rPr>
                <w:rFonts w:ascii="Arial" w:hAnsi="Arial" w:cs="Arial"/>
                <w:color w:val="000000"/>
                <w:sz w:val="24"/>
              </w:rPr>
              <w:t>Dokumentationsmängel erschweren den Entlastungsnachweis erheblich.</w:t>
            </w:r>
          </w:p>
        </w:tc>
      </w:tr>
    </w:tbl>
    <w:p w14:paraId="576E3AA2" w14:textId="77777777" w:rsidR="009B7323" w:rsidRDefault="009B7323" w:rsidP="00C73E1A"/>
    <w:sectPr w:rsidR="009B7323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731E0" w14:textId="77777777" w:rsidR="005001C4" w:rsidRDefault="005001C4" w:rsidP="002A5D13">
      <w:pPr>
        <w:spacing w:after="0" w:line="240" w:lineRule="auto"/>
      </w:pPr>
      <w:r>
        <w:separator/>
      </w:r>
    </w:p>
  </w:endnote>
  <w:endnote w:type="continuationSeparator" w:id="0">
    <w:p w14:paraId="2589BFA7" w14:textId="77777777" w:rsidR="005001C4" w:rsidRDefault="005001C4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23DC3" w14:textId="77777777" w:rsidR="005001C4" w:rsidRDefault="005001C4" w:rsidP="002A5D13">
      <w:pPr>
        <w:spacing w:after="0" w:line="240" w:lineRule="auto"/>
      </w:pPr>
      <w:r>
        <w:separator/>
      </w:r>
    </w:p>
  </w:footnote>
  <w:footnote w:type="continuationSeparator" w:id="0">
    <w:p w14:paraId="03B05E9B" w14:textId="77777777" w:rsidR="005001C4" w:rsidRDefault="005001C4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1328AB31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B1A45">
            <w:rPr>
              <w:b/>
              <w:color w:val="FFFFFF"/>
              <w:sz w:val="24"/>
            </w:rPr>
            <w:t>0</w:t>
          </w:r>
          <w:r w:rsidR="003E6812">
            <w:rPr>
              <w:b/>
              <w:color w:val="FFFFFF"/>
              <w:sz w:val="24"/>
            </w:rPr>
            <w:t>9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239F9"/>
    <w:multiLevelType w:val="hybridMultilevel"/>
    <w:tmpl w:val="9BF242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937C71"/>
    <w:multiLevelType w:val="hybridMultilevel"/>
    <w:tmpl w:val="85BC1C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10"/>
  </w:num>
  <w:num w:numId="2" w16cid:durableId="1804158717">
    <w:abstractNumId w:val="20"/>
  </w:num>
  <w:num w:numId="3" w16cid:durableId="1548251974">
    <w:abstractNumId w:val="23"/>
  </w:num>
  <w:num w:numId="4" w16cid:durableId="869875702">
    <w:abstractNumId w:val="11"/>
  </w:num>
  <w:num w:numId="5" w16cid:durableId="1526597782">
    <w:abstractNumId w:val="6"/>
  </w:num>
  <w:num w:numId="6" w16cid:durableId="867765150">
    <w:abstractNumId w:val="8"/>
  </w:num>
  <w:num w:numId="7" w16cid:durableId="1798405097">
    <w:abstractNumId w:val="13"/>
  </w:num>
  <w:num w:numId="8" w16cid:durableId="388921494">
    <w:abstractNumId w:val="12"/>
  </w:num>
  <w:num w:numId="9" w16cid:durableId="1308784843">
    <w:abstractNumId w:val="9"/>
  </w:num>
  <w:num w:numId="10" w16cid:durableId="998121745">
    <w:abstractNumId w:val="5"/>
  </w:num>
  <w:num w:numId="11" w16cid:durableId="1808205416">
    <w:abstractNumId w:val="21"/>
  </w:num>
  <w:num w:numId="12" w16cid:durableId="210113988">
    <w:abstractNumId w:val="15"/>
  </w:num>
  <w:num w:numId="13" w16cid:durableId="1970042432">
    <w:abstractNumId w:val="16"/>
  </w:num>
  <w:num w:numId="14" w16cid:durableId="1035348882">
    <w:abstractNumId w:val="14"/>
  </w:num>
  <w:num w:numId="15" w16cid:durableId="300035607">
    <w:abstractNumId w:val="17"/>
  </w:num>
  <w:num w:numId="16" w16cid:durableId="978144461">
    <w:abstractNumId w:val="18"/>
  </w:num>
  <w:num w:numId="17" w16cid:durableId="638414688">
    <w:abstractNumId w:val="19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  <w:num w:numId="23" w16cid:durableId="887104170">
    <w:abstractNumId w:val="7"/>
  </w:num>
  <w:num w:numId="24" w16cid:durableId="15076702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615F4"/>
    <w:rsid w:val="003676E3"/>
    <w:rsid w:val="00380EF0"/>
    <w:rsid w:val="003A4ED1"/>
    <w:rsid w:val="003E3400"/>
    <w:rsid w:val="003E6812"/>
    <w:rsid w:val="00433F51"/>
    <w:rsid w:val="0045558D"/>
    <w:rsid w:val="004639C0"/>
    <w:rsid w:val="004955F6"/>
    <w:rsid w:val="00496C3D"/>
    <w:rsid w:val="004A47F9"/>
    <w:rsid w:val="004C2396"/>
    <w:rsid w:val="005001C4"/>
    <w:rsid w:val="0050689E"/>
    <w:rsid w:val="00534FB6"/>
    <w:rsid w:val="00551B88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937B0B"/>
    <w:rsid w:val="0094172F"/>
    <w:rsid w:val="009433D9"/>
    <w:rsid w:val="00983536"/>
    <w:rsid w:val="009908DD"/>
    <w:rsid w:val="009A7EDE"/>
    <w:rsid w:val="009B721F"/>
    <w:rsid w:val="009B7323"/>
    <w:rsid w:val="009E79DF"/>
    <w:rsid w:val="00A06C64"/>
    <w:rsid w:val="00A24EA3"/>
    <w:rsid w:val="00A24F05"/>
    <w:rsid w:val="00AB1A45"/>
    <w:rsid w:val="00AC4A16"/>
    <w:rsid w:val="00B01FFE"/>
    <w:rsid w:val="00B707AF"/>
    <w:rsid w:val="00B77525"/>
    <w:rsid w:val="00B87D52"/>
    <w:rsid w:val="00BB2A0A"/>
    <w:rsid w:val="00BD71E9"/>
    <w:rsid w:val="00BF7A72"/>
    <w:rsid w:val="00C310AF"/>
    <w:rsid w:val="00C65F63"/>
    <w:rsid w:val="00C73E1A"/>
    <w:rsid w:val="00CC38C8"/>
    <w:rsid w:val="00CF7045"/>
    <w:rsid w:val="00D758F4"/>
    <w:rsid w:val="00DB32C7"/>
    <w:rsid w:val="00E2265E"/>
    <w:rsid w:val="00E26939"/>
    <w:rsid w:val="00E353A3"/>
    <w:rsid w:val="00EC24AC"/>
    <w:rsid w:val="00EC3153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1283</Characters>
  <Application>Microsoft Office Word</Application>
  <DocSecurity>0</DocSecurity>
  <Lines>641</Lines>
  <Paragraphs>434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2026-04-09T12:06:00Z</dcterms:created>
  <dcterms:modified xsi:type="dcterms:W3CDTF">2026-04-09T12:06:00Z</dcterms:modified>
</cp:coreProperties>
</file>