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A76595" w14:textId="77777777" w:rsidR="002A5D13" w:rsidRDefault="007A7CA7" w:rsidP="0094172F">
      <w:pPr>
        <w:tabs>
          <w:tab w:val="left" w:pos="5280"/>
          <w:tab w:val="right" w:pos="9070"/>
        </w:tabs>
        <w:rPr>
          <w:b/>
          <w:noProof/>
          <w:lang w:eastAsia="de-DE"/>
        </w:rPr>
      </w:pPr>
      <w:r>
        <w:rPr>
          <w:b/>
          <w:noProof/>
          <w:lang w:eastAsia="de-DE"/>
        </w:rPr>
        <w:tab/>
      </w:r>
      <w:r w:rsidR="0094172F">
        <w:rPr>
          <w:b/>
          <w:noProof/>
          <w:lang w:eastAsia="de-DE"/>
        </w:rPr>
        <w:tab/>
      </w:r>
    </w:p>
    <w:p w14:paraId="61F0E915" w14:textId="77777777" w:rsidR="00C73E1A" w:rsidRDefault="007A7CA7" w:rsidP="00E353A3">
      <w:pPr>
        <w:tabs>
          <w:tab w:val="left" w:pos="1665"/>
          <w:tab w:val="left" w:pos="2430"/>
          <w:tab w:val="left" w:pos="4185"/>
          <w:tab w:val="left" w:pos="6900"/>
        </w:tabs>
      </w:pPr>
      <w:r>
        <w:tab/>
      </w:r>
      <w:r w:rsidR="00E353A3">
        <w:tab/>
      </w:r>
      <w:r>
        <w:tab/>
      </w:r>
      <w:r w:rsidR="00B707AF">
        <w:tab/>
      </w:r>
    </w:p>
    <w:p w14:paraId="79470510" w14:textId="7394BF4D" w:rsidR="00D023F7" w:rsidRDefault="006E18EF" w:rsidP="005306F8">
      <w:pPr>
        <w:tabs>
          <w:tab w:val="left" w:pos="2430"/>
        </w:tabs>
      </w:pPr>
      <w:r>
        <w:tab/>
      </w:r>
    </w:p>
    <w:p w14:paraId="41D088F2" w14:textId="77777777" w:rsidR="00260DFD" w:rsidRDefault="00260DFD" w:rsidP="00C73E1A"/>
    <w:p w14:paraId="61D9160A" w14:textId="77777777" w:rsidR="00260DFD" w:rsidRDefault="00260DFD" w:rsidP="00C73E1A"/>
    <w:tbl>
      <w:tblPr>
        <w:tblW w:w="94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742"/>
        <w:gridCol w:w="4745"/>
      </w:tblGrid>
      <w:tr w:rsidR="00260DFD" w:rsidRPr="00260DFD" w14:paraId="23FA486C" w14:textId="77777777" w:rsidTr="00260DFD">
        <w:tblPrEx>
          <w:tblCellMar>
            <w:top w:w="0" w:type="dxa"/>
            <w:bottom w:w="0" w:type="dxa"/>
          </w:tblCellMar>
        </w:tblPrEx>
        <w:trPr>
          <w:trHeight w:val="132"/>
          <w:jc w:val="center"/>
        </w:trPr>
        <w:tc>
          <w:tcPr>
            <w:tcW w:w="9487" w:type="dxa"/>
            <w:gridSpan w:val="2"/>
            <w:shd w:val="clear" w:color="auto" w:fill="006793"/>
          </w:tcPr>
          <w:p w14:paraId="2290B19B" w14:textId="77777777" w:rsidR="00260DFD" w:rsidRPr="00260DFD" w:rsidRDefault="00260DFD" w:rsidP="00260DFD">
            <w:pPr>
              <w:spacing w:before="120" w:after="120"/>
              <w:rPr>
                <w:rFonts w:ascii="Arial" w:hAnsi="Arial" w:cs="Arial"/>
                <w:b/>
                <w:color w:val="FFFFFF" w:themeColor="background1"/>
                <w:sz w:val="28"/>
                <w:szCs w:val="28"/>
              </w:rPr>
            </w:pPr>
            <w:r w:rsidRPr="00260DFD">
              <w:rPr>
                <w:rFonts w:ascii="Arial" w:hAnsi="Arial" w:cs="Arial"/>
                <w:b/>
                <w:color w:val="FFFFFF" w:themeColor="background1"/>
                <w:sz w:val="28"/>
                <w:szCs w:val="28"/>
              </w:rPr>
              <w:t xml:space="preserve">Pro &amp; Kontra: D&amp;O-Versicherung in der Pflege </w:t>
            </w:r>
          </w:p>
        </w:tc>
      </w:tr>
      <w:tr w:rsidR="00260DFD" w:rsidRPr="00260DFD" w14:paraId="3FE96E6E" w14:textId="77777777" w:rsidTr="00260DFD">
        <w:tblPrEx>
          <w:tblCellMar>
            <w:top w:w="0" w:type="dxa"/>
            <w:bottom w:w="0" w:type="dxa"/>
          </w:tblCellMar>
        </w:tblPrEx>
        <w:trPr>
          <w:trHeight w:val="125"/>
          <w:jc w:val="center"/>
        </w:trPr>
        <w:tc>
          <w:tcPr>
            <w:tcW w:w="4742" w:type="dxa"/>
            <w:shd w:val="clear" w:color="auto" w:fill="FCCBA2"/>
          </w:tcPr>
          <w:p w14:paraId="53B92B27" w14:textId="77777777" w:rsidR="00260DFD" w:rsidRPr="00260DFD" w:rsidRDefault="00260DFD" w:rsidP="00260DFD">
            <w:pPr>
              <w:spacing w:before="120" w:after="120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260DFD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PRO – Argumente für D&amp;O </w:t>
            </w:r>
          </w:p>
        </w:tc>
        <w:tc>
          <w:tcPr>
            <w:tcW w:w="4744" w:type="dxa"/>
            <w:shd w:val="clear" w:color="auto" w:fill="FCCBA2"/>
          </w:tcPr>
          <w:p w14:paraId="01B961CC" w14:textId="77777777" w:rsidR="00260DFD" w:rsidRPr="00260DFD" w:rsidRDefault="00260DFD" w:rsidP="00260DFD">
            <w:pPr>
              <w:spacing w:before="120" w:after="120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260DFD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KONTRA – Grenzen der D&amp;O </w:t>
            </w:r>
          </w:p>
        </w:tc>
      </w:tr>
      <w:tr w:rsidR="00260DFD" w:rsidRPr="00260DFD" w14:paraId="722E8D0A" w14:textId="77777777" w:rsidTr="00260DFD">
        <w:tblPrEx>
          <w:tblCellMar>
            <w:top w:w="0" w:type="dxa"/>
            <w:bottom w:w="0" w:type="dxa"/>
          </w:tblCellMar>
        </w:tblPrEx>
        <w:trPr>
          <w:trHeight w:val="247"/>
          <w:jc w:val="center"/>
        </w:trPr>
        <w:tc>
          <w:tcPr>
            <w:tcW w:w="4742" w:type="dxa"/>
          </w:tcPr>
          <w:p w14:paraId="39A62A5C" w14:textId="1592103C" w:rsidR="00260DFD" w:rsidRPr="00260DFD" w:rsidRDefault="00260DFD" w:rsidP="00260DFD">
            <w:pPr>
              <w:spacing w:before="120" w:after="12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260DFD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Schutz des Privatvermögens vor existenzbedrohenden Schadenersatzforderungen </w:t>
            </w:r>
          </w:p>
        </w:tc>
        <w:tc>
          <w:tcPr>
            <w:tcW w:w="4744" w:type="dxa"/>
          </w:tcPr>
          <w:p w14:paraId="250955D5" w14:textId="4B0C69A1" w:rsidR="00260DFD" w:rsidRPr="00260DFD" w:rsidRDefault="00260DFD" w:rsidP="00260DFD">
            <w:pPr>
              <w:spacing w:before="120" w:after="12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260DFD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kein Schutz bei vorsätzlicher oder grob fahrlässiger Pflichtverletzung </w:t>
            </w:r>
          </w:p>
        </w:tc>
      </w:tr>
      <w:tr w:rsidR="00260DFD" w:rsidRPr="00260DFD" w14:paraId="43E97F05" w14:textId="77777777" w:rsidTr="00260DFD">
        <w:tblPrEx>
          <w:tblCellMar>
            <w:top w:w="0" w:type="dxa"/>
            <w:bottom w:w="0" w:type="dxa"/>
          </w:tblCellMar>
        </w:tblPrEx>
        <w:trPr>
          <w:trHeight w:val="247"/>
          <w:jc w:val="center"/>
        </w:trPr>
        <w:tc>
          <w:tcPr>
            <w:tcW w:w="4742" w:type="dxa"/>
          </w:tcPr>
          <w:p w14:paraId="4EF6B661" w14:textId="152298B4" w:rsidR="00260DFD" w:rsidRPr="00260DFD" w:rsidRDefault="00260DFD" w:rsidP="00260DFD">
            <w:pPr>
              <w:spacing w:before="120" w:after="12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260DFD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Übernahme von Abwehrkosten auch bei unbegründeten Ansprüchen </w:t>
            </w:r>
          </w:p>
        </w:tc>
        <w:tc>
          <w:tcPr>
            <w:tcW w:w="4744" w:type="dxa"/>
          </w:tcPr>
          <w:p w14:paraId="39D88EC2" w14:textId="0209DA0A" w:rsidR="00260DFD" w:rsidRPr="00260DFD" w:rsidRDefault="00260DFD" w:rsidP="00260DFD">
            <w:pPr>
              <w:spacing w:before="120" w:after="12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260DFD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keine Deckung für Bußgelder, Strafen oder Geldauflagen </w:t>
            </w:r>
          </w:p>
        </w:tc>
      </w:tr>
      <w:tr w:rsidR="00260DFD" w:rsidRPr="00260DFD" w14:paraId="3CC0DBAD" w14:textId="77777777" w:rsidTr="00260DFD">
        <w:tblPrEx>
          <w:tblCellMar>
            <w:top w:w="0" w:type="dxa"/>
            <w:bottom w:w="0" w:type="dxa"/>
          </w:tblCellMar>
        </w:tblPrEx>
        <w:trPr>
          <w:trHeight w:val="247"/>
          <w:jc w:val="center"/>
        </w:trPr>
        <w:tc>
          <w:tcPr>
            <w:tcW w:w="4742" w:type="dxa"/>
          </w:tcPr>
          <w:p w14:paraId="3B314656" w14:textId="25560E48" w:rsidR="00260DFD" w:rsidRPr="00260DFD" w:rsidRDefault="00260DFD" w:rsidP="00260DFD">
            <w:pPr>
              <w:spacing w:before="120" w:after="12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260DFD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Rückwärtsdeckung: Schutz auch für Pflichtverletzungen vor Vertragsabschluss </w:t>
            </w:r>
          </w:p>
        </w:tc>
        <w:tc>
          <w:tcPr>
            <w:tcW w:w="4744" w:type="dxa"/>
          </w:tcPr>
          <w:p w14:paraId="2352DBA4" w14:textId="629E70D1" w:rsidR="00260DFD" w:rsidRPr="00260DFD" w:rsidRDefault="00260DFD" w:rsidP="00260DFD">
            <w:pPr>
              <w:spacing w:before="120" w:after="12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260DFD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bei Insolvenzverschleppung oft leistungsfrei </w:t>
            </w:r>
          </w:p>
        </w:tc>
      </w:tr>
      <w:tr w:rsidR="00260DFD" w:rsidRPr="00260DFD" w14:paraId="1A67B7CA" w14:textId="77777777" w:rsidTr="00260DFD">
        <w:tblPrEx>
          <w:tblCellMar>
            <w:top w:w="0" w:type="dxa"/>
            <w:bottom w:w="0" w:type="dxa"/>
          </w:tblCellMar>
        </w:tblPrEx>
        <w:trPr>
          <w:trHeight w:val="247"/>
          <w:jc w:val="center"/>
        </w:trPr>
        <w:tc>
          <w:tcPr>
            <w:tcW w:w="4742" w:type="dxa"/>
          </w:tcPr>
          <w:p w14:paraId="3A11D915" w14:textId="20FE7449" w:rsidR="00260DFD" w:rsidRPr="00260DFD" w:rsidRDefault="00260DFD" w:rsidP="00260DFD">
            <w:pPr>
              <w:spacing w:before="120" w:after="12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260DFD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Rechtsschutzfunktion: juristische Prüfung aller Ansprüche durch Versicherer </w:t>
            </w:r>
          </w:p>
        </w:tc>
        <w:tc>
          <w:tcPr>
            <w:tcW w:w="4744" w:type="dxa"/>
          </w:tcPr>
          <w:p w14:paraId="34ED9B33" w14:textId="5805F6FB" w:rsidR="00260DFD" w:rsidRPr="00260DFD" w:rsidRDefault="00260DFD" w:rsidP="00260DFD">
            <w:pPr>
              <w:spacing w:before="120" w:after="12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260DFD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hohe Jahresprämien bei oft begrenzter Deckungssumme </w:t>
            </w:r>
          </w:p>
        </w:tc>
      </w:tr>
    </w:tbl>
    <w:p w14:paraId="5C5012DE" w14:textId="77777777" w:rsidR="00260DFD" w:rsidRDefault="00260DFD" w:rsidP="00C73E1A"/>
    <w:sectPr w:rsidR="00260DFD" w:rsidSect="00496C3D">
      <w:headerReference w:type="default" r:id="rId9"/>
      <w:pgSz w:w="11906" w:h="16838" w:code="9"/>
      <w:pgMar w:top="-576" w:right="1418" w:bottom="284" w:left="1418" w:header="85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503AF5" w14:textId="77777777" w:rsidR="00C162A6" w:rsidRDefault="00C162A6" w:rsidP="002A5D13">
      <w:pPr>
        <w:spacing w:after="0" w:line="240" w:lineRule="auto"/>
      </w:pPr>
      <w:r>
        <w:separator/>
      </w:r>
    </w:p>
  </w:endnote>
  <w:endnote w:type="continuationSeparator" w:id="0">
    <w:p w14:paraId="76E4F8A0" w14:textId="77777777" w:rsidR="00C162A6" w:rsidRDefault="00C162A6" w:rsidP="002A5D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612D60" w14:textId="77777777" w:rsidR="00C162A6" w:rsidRDefault="00C162A6" w:rsidP="002A5D13">
      <w:pPr>
        <w:spacing w:after="0" w:line="240" w:lineRule="auto"/>
      </w:pPr>
      <w:r>
        <w:separator/>
      </w:r>
    </w:p>
  </w:footnote>
  <w:footnote w:type="continuationSeparator" w:id="0">
    <w:p w14:paraId="38D8E3DE" w14:textId="77777777" w:rsidR="00C162A6" w:rsidRDefault="00C162A6" w:rsidP="002A5D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4533" w:type="pct"/>
      <w:jc w:val="center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2143"/>
      <w:gridCol w:w="6080"/>
    </w:tblGrid>
    <w:tr w:rsidR="00E26939" w14:paraId="50FE07F4" w14:textId="77777777" w:rsidTr="00E26939">
      <w:trPr>
        <w:trHeight w:val="778"/>
        <w:jc w:val="center"/>
      </w:trPr>
      <w:tc>
        <w:tcPr>
          <w:tcW w:w="1303" w:type="pct"/>
          <w:tcBorders>
            <w:bottom w:val="single" w:sz="4" w:space="0" w:color="auto"/>
          </w:tcBorders>
          <w:shd w:val="clear" w:color="auto" w:fill="006793"/>
          <w:vAlign w:val="center"/>
        </w:tcPr>
        <w:p w14:paraId="6ABA9FFE" w14:textId="7AC18D31" w:rsidR="007A7CA7" w:rsidRPr="007A7CA7" w:rsidRDefault="009908DD" w:rsidP="00332CA1">
          <w:pPr>
            <w:pStyle w:val="Kopfzeile"/>
            <w:jc w:val="center"/>
            <w:rPr>
              <w:b/>
              <w:color w:val="FFFFFF"/>
            </w:rPr>
          </w:pPr>
          <w:r>
            <w:rPr>
              <w:b/>
              <w:color w:val="FFFFFF"/>
              <w:sz w:val="24"/>
            </w:rPr>
            <w:t xml:space="preserve">Ausgabe </w:t>
          </w:r>
          <w:r w:rsidR="00D023F7">
            <w:rPr>
              <w:b/>
              <w:color w:val="FFFFFF"/>
              <w:sz w:val="24"/>
            </w:rPr>
            <w:t>11</w:t>
          </w:r>
          <w:r>
            <w:rPr>
              <w:b/>
              <w:color w:val="FFFFFF"/>
              <w:sz w:val="24"/>
            </w:rPr>
            <w:t xml:space="preserve"> - 20</w:t>
          </w:r>
          <w:r w:rsidR="0066479A">
            <w:rPr>
              <w:b/>
              <w:color w:val="FFFFFF"/>
              <w:sz w:val="24"/>
            </w:rPr>
            <w:t>2</w:t>
          </w:r>
          <w:r w:rsidR="00F82C0D">
            <w:rPr>
              <w:b/>
              <w:color w:val="FFFFFF"/>
              <w:sz w:val="24"/>
            </w:rPr>
            <w:t>6</w:t>
          </w:r>
        </w:p>
      </w:tc>
      <w:tc>
        <w:tcPr>
          <w:tcW w:w="3697" w:type="pct"/>
          <w:tcBorders>
            <w:bottom w:val="single" w:sz="4" w:space="0" w:color="auto"/>
          </w:tcBorders>
          <w:vAlign w:val="bottom"/>
        </w:tcPr>
        <w:p w14:paraId="44497443" w14:textId="1243A0FE" w:rsidR="008522CE" w:rsidRPr="00EC24AC" w:rsidRDefault="00E26939" w:rsidP="007A7CA7">
          <w:pPr>
            <w:pStyle w:val="Kopfzeile"/>
            <w:rPr>
              <w:b/>
              <w:bCs/>
              <w:color w:val="808080"/>
              <w:sz w:val="16"/>
            </w:rPr>
          </w:pPr>
          <w:r w:rsidRPr="00E26939">
            <w:rPr>
              <w:b/>
              <w:bCs/>
              <w:noProof/>
              <w:color w:val="808080"/>
              <w:sz w:val="16"/>
            </w:rPr>
            <w:drawing>
              <wp:inline distT="0" distB="0" distL="0" distR="0" wp14:anchorId="4783F488" wp14:editId="591378E4">
                <wp:extent cx="3714750" cy="883840"/>
                <wp:effectExtent l="0" t="0" r="0" b="0"/>
                <wp:docPr id="522481502" name="Grafi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22481502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809616" cy="90641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2ED1B152" w14:textId="77777777" w:rsidR="007A7CA7" w:rsidRDefault="007A7CA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0"/>
    <w:multiLevelType w:val="singleLevel"/>
    <w:tmpl w:val="627249D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BFE4338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E95284A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811EDF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626681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4624C95"/>
    <w:multiLevelType w:val="hybridMultilevel"/>
    <w:tmpl w:val="834EF17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E95869"/>
    <w:multiLevelType w:val="hybridMultilevel"/>
    <w:tmpl w:val="E97E055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443233"/>
    <w:multiLevelType w:val="hybridMultilevel"/>
    <w:tmpl w:val="33B88B2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127CBB"/>
    <w:multiLevelType w:val="hybridMultilevel"/>
    <w:tmpl w:val="C32E3AF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3B0040"/>
    <w:multiLevelType w:val="hybridMultilevel"/>
    <w:tmpl w:val="72301DBA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8D7D93"/>
    <w:multiLevelType w:val="hybridMultilevel"/>
    <w:tmpl w:val="A1F49D8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C644C20"/>
    <w:multiLevelType w:val="hybridMultilevel"/>
    <w:tmpl w:val="5DCA966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2BD294"/>
    <w:multiLevelType w:val="multilevel"/>
    <w:tmpl w:val="512BD294"/>
    <w:name w:val="Nummerierungsliste 6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3" w15:restartNumberingAfterBreak="0">
    <w:nsid w:val="51862F0E"/>
    <w:multiLevelType w:val="multilevel"/>
    <w:tmpl w:val="51862F0E"/>
    <w:name w:val="Nummerierungsliste 2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4" w15:restartNumberingAfterBreak="0">
    <w:nsid w:val="51862F0F"/>
    <w:multiLevelType w:val="multilevel"/>
    <w:tmpl w:val="51862F0F"/>
    <w:name w:val="Nummerierungsliste 3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5" w15:restartNumberingAfterBreak="0">
    <w:nsid w:val="51862F10"/>
    <w:multiLevelType w:val="multilevel"/>
    <w:tmpl w:val="51862F10"/>
    <w:name w:val="Nummerierungsliste 4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6" w15:restartNumberingAfterBreak="0">
    <w:nsid w:val="51862F13"/>
    <w:multiLevelType w:val="multilevel"/>
    <w:tmpl w:val="51862F13"/>
    <w:name w:val="Nummerierungsliste 7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7" w15:restartNumberingAfterBreak="0">
    <w:nsid w:val="51862F16"/>
    <w:multiLevelType w:val="multilevel"/>
    <w:tmpl w:val="51862F16"/>
    <w:name w:val="Nummerierungsliste 10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8" w15:restartNumberingAfterBreak="0">
    <w:nsid w:val="51862F18"/>
    <w:multiLevelType w:val="multilevel"/>
    <w:tmpl w:val="51862F18"/>
    <w:name w:val="Nummerierungsliste 12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9" w15:restartNumberingAfterBreak="0">
    <w:nsid w:val="54D35FDE"/>
    <w:multiLevelType w:val="hybridMultilevel"/>
    <w:tmpl w:val="5FBC30FE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D1A7516"/>
    <w:multiLevelType w:val="hybridMultilevel"/>
    <w:tmpl w:val="525AAA6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7C5079F"/>
    <w:multiLevelType w:val="hybridMultilevel"/>
    <w:tmpl w:val="09C892A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368021475">
    <w:abstractNumId w:val="9"/>
  </w:num>
  <w:num w:numId="2" w16cid:durableId="1804158717">
    <w:abstractNumId w:val="19"/>
  </w:num>
  <w:num w:numId="3" w16cid:durableId="1548251974">
    <w:abstractNumId w:val="21"/>
  </w:num>
  <w:num w:numId="4" w16cid:durableId="869875702">
    <w:abstractNumId w:val="10"/>
  </w:num>
  <w:num w:numId="5" w16cid:durableId="1526597782">
    <w:abstractNumId w:val="6"/>
  </w:num>
  <w:num w:numId="6" w16cid:durableId="867765150">
    <w:abstractNumId w:val="7"/>
  </w:num>
  <w:num w:numId="7" w16cid:durableId="1798405097">
    <w:abstractNumId w:val="12"/>
  </w:num>
  <w:num w:numId="8" w16cid:durableId="388921494">
    <w:abstractNumId w:val="11"/>
  </w:num>
  <w:num w:numId="9" w16cid:durableId="1308784843">
    <w:abstractNumId w:val="8"/>
  </w:num>
  <w:num w:numId="10" w16cid:durableId="998121745">
    <w:abstractNumId w:val="5"/>
  </w:num>
  <w:num w:numId="11" w16cid:durableId="1808205416">
    <w:abstractNumId w:val="20"/>
  </w:num>
  <w:num w:numId="12" w16cid:durableId="210113988">
    <w:abstractNumId w:val="14"/>
  </w:num>
  <w:num w:numId="13" w16cid:durableId="1970042432">
    <w:abstractNumId w:val="15"/>
  </w:num>
  <w:num w:numId="14" w16cid:durableId="1035348882">
    <w:abstractNumId w:val="13"/>
  </w:num>
  <w:num w:numId="15" w16cid:durableId="300035607">
    <w:abstractNumId w:val="16"/>
  </w:num>
  <w:num w:numId="16" w16cid:durableId="978144461">
    <w:abstractNumId w:val="17"/>
  </w:num>
  <w:num w:numId="17" w16cid:durableId="638414688">
    <w:abstractNumId w:val="18"/>
  </w:num>
  <w:num w:numId="18" w16cid:durableId="1809593188">
    <w:abstractNumId w:val="4"/>
  </w:num>
  <w:num w:numId="19" w16cid:durableId="310256859">
    <w:abstractNumId w:val="3"/>
  </w:num>
  <w:num w:numId="20" w16cid:durableId="484276499">
    <w:abstractNumId w:val="2"/>
  </w:num>
  <w:num w:numId="21" w16cid:durableId="542445318">
    <w:abstractNumId w:val="1"/>
  </w:num>
  <w:num w:numId="22" w16cid:durableId="6885320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7"/>
  <w:proofState w:spelling="clean" w:grammar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515F"/>
    <w:rsid w:val="00022C51"/>
    <w:rsid w:val="00032A0C"/>
    <w:rsid w:val="00043D60"/>
    <w:rsid w:val="00075BC0"/>
    <w:rsid w:val="000779E6"/>
    <w:rsid w:val="00092CAA"/>
    <w:rsid w:val="000B50CC"/>
    <w:rsid w:val="000C6A2D"/>
    <w:rsid w:val="00111E67"/>
    <w:rsid w:val="0015409B"/>
    <w:rsid w:val="001A70C9"/>
    <w:rsid w:val="001B429B"/>
    <w:rsid w:val="00205D0C"/>
    <w:rsid w:val="00220A6D"/>
    <w:rsid w:val="00221BA5"/>
    <w:rsid w:val="00253097"/>
    <w:rsid w:val="00260DFD"/>
    <w:rsid w:val="0027096C"/>
    <w:rsid w:val="002766CF"/>
    <w:rsid w:val="0028515F"/>
    <w:rsid w:val="00287D7D"/>
    <w:rsid w:val="0029109D"/>
    <w:rsid w:val="002A5D13"/>
    <w:rsid w:val="002B029B"/>
    <w:rsid w:val="002B4419"/>
    <w:rsid w:val="002D45E4"/>
    <w:rsid w:val="002E4378"/>
    <w:rsid w:val="00332CA1"/>
    <w:rsid w:val="00345343"/>
    <w:rsid w:val="003511D4"/>
    <w:rsid w:val="003615F4"/>
    <w:rsid w:val="003676E3"/>
    <w:rsid w:val="00380EF0"/>
    <w:rsid w:val="003A4ED1"/>
    <w:rsid w:val="003E3400"/>
    <w:rsid w:val="00433F51"/>
    <w:rsid w:val="0045558D"/>
    <w:rsid w:val="004639C0"/>
    <w:rsid w:val="004955F6"/>
    <w:rsid w:val="00496C3D"/>
    <w:rsid w:val="004A47F9"/>
    <w:rsid w:val="004C2396"/>
    <w:rsid w:val="0050689E"/>
    <w:rsid w:val="005306F8"/>
    <w:rsid w:val="00534FB6"/>
    <w:rsid w:val="00551B88"/>
    <w:rsid w:val="00587D31"/>
    <w:rsid w:val="00614D0A"/>
    <w:rsid w:val="00653E72"/>
    <w:rsid w:val="00661981"/>
    <w:rsid w:val="0066479A"/>
    <w:rsid w:val="006A5CFE"/>
    <w:rsid w:val="006B797D"/>
    <w:rsid w:val="006E18EF"/>
    <w:rsid w:val="00725FA4"/>
    <w:rsid w:val="00753F05"/>
    <w:rsid w:val="007A7CA7"/>
    <w:rsid w:val="007B0290"/>
    <w:rsid w:val="007C0AE5"/>
    <w:rsid w:val="007D58D2"/>
    <w:rsid w:val="007E1A2E"/>
    <w:rsid w:val="00810CD0"/>
    <w:rsid w:val="00841FA8"/>
    <w:rsid w:val="008522CE"/>
    <w:rsid w:val="00852BFB"/>
    <w:rsid w:val="00860ECB"/>
    <w:rsid w:val="008633AC"/>
    <w:rsid w:val="008838E4"/>
    <w:rsid w:val="00887070"/>
    <w:rsid w:val="008B1F83"/>
    <w:rsid w:val="008B7A2C"/>
    <w:rsid w:val="008C0D29"/>
    <w:rsid w:val="008E3374"/>
    <w:rsid w:val="008E4B8D"/>
    <w:rsid w:val="008E62B1"/>
    <w:rsid w:val="00937B0B"/>
    <w:rsid w:val="0094172F"/>
    <w:rsid w:val="009433D9"/>
    <w:rsid w:val="00983536"/>
    <w:rsid w:val="009908DD"/>
    <w:rsid w:val="009B721F"/>
    <w:rsid w:val="009E79DF"/>
    <w:rsid w:val="00A06C64"/>
    <w:rsid w:val="00A24EA3"/>
    <w:rsid w:val="00A24F05"/>
    <w:rsid w:val="00AB1A45"/>
    <w:rsid w:val="00AC4A16"/>
    <w:rsid w:val="00AC515D"/>
    <w:rsid w:val="00B01FFE"/>
    <w:rsid w:val="00B707AF"/>
    <w:rsid w:val="00B77525"/>
    <w:rsid w:val="00B87D52"/>
    <w:rsid w:val="00BB2A0A"/>
    <w:rsid w:val="00BD71E9"/>
    <w:rsid w:val="00BF7A72"/>
    <w:rsid w:val="00C162A6"/>
    <w:rsid w:val="00C310AF"/>
    <w:rsid w:val="00C73E1A"/>
    <w:rsid w:val="00CC38C8"/>
    <w:rsid w:val="00CF7045"/>
    <w:rsid w:val="00D023F7"/>
    <w:rsid w:val="00D758F4"/>
    <w:rsid w:val="00DB32C7"/>
    <w:rsid w:val="00E2265E"/>
    <w:rsid w:val="00E26939"/>
    <w:rsid w:val="00E353A3"/>
    <w:rsid w:val="00EC24AC"/>
    <w:rsid w:val="00EC3153"/>
    <w:rsid w:val="00F20663"/>
    <w:rsid w:val="00F27330"/>
    <w:rsid w:val="00F43559"/>
    <w:rsid w:val="00F82C0D"/>
    <w:rsid w:val="00FA19D7"/>
    <w:rsid w:val="00FC2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9C0809"/>
  <w15:chartTrackingRefBased/>
  <w15:docId w15:val="{34E61B2E-A1BB-499B-A7CA-A424FAD64B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87D52"/>
    <w:pPr>
      <w:spacing w:after="200" w:line="276" w:lineRule="auto"/>
    </w:pPr>
    <w:rPr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28515F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  <w:lang w:val="x-none" w:eastAsia="x-none"/>
    </w:rPr>
  </w:style>
  <w:style w:type="paragraph" w:styleId="berschrift2">
    <w:name w:val="heading 2"/>
    <w:basedOn w:val="Standard"/>
    <w:link w:val="berschrift2Zchn"/>
    <w:uiPriority w:val="9"/>
    <w:qFormat/>
    <w:rsid w:val="0028515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val="x-none" w:eastAsia="de-DE"/>
    </w:rPr>
  </w:style>
  <w:style w:type="paragraph" w:styleId="berschrift3">
    <w:name w:val="heading 3"/>
    <w:basedOn w:val="Standard"/>
    <w:link w:val="berschrift3Zchn"/>
    <w:uiPriority w:val="9"/>
    <w:qFormat/>
    <w:rsid w:val="0028515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val="x-none" w:eastAsia="de-DE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semiHidden/>
    <w:unhideWhenUsed/>
    <w:rsid w:val="0028515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de-DE"/>
    </w:rPr>
  </w:style>
  <w:style w:type="character" w:styleId="Fett">
    <w:name w:val="Strong"/>
    <w:uiPriority w:val="22"/>
    <w:qFormat/>
    <w:rsid w:val="0028515F"/>
    <w:rPr>
      <w:b/>
      <w:bCs/>
    </w:rPr>
  </w:style>
  <w:style w:type="character" w:customStyle="1" w:styleId="berschrift2Zchn">
    <w:name w:val="Überschrift 2 Zchn"/>
    <w:link w:val="berschrift2"/>
    <w:uiPriority w:val="9"/>
    <w:rsid w:val="0028515F"/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character" w:customStyle="1" w:styleId="berschrift3Zchn">
    <w:name w:val="Überschrift 3 Zchn"/>
    <w:link w:val="berschrift3"/>
    <w:uiPriority w:val="9"/>
    <w:rsid w:val="0028515F"/>
    <w:rPr>
      <w:rFonts w:ascii="Times New Roman" w:eastAsia="Times New Roman" w:hAnsi="Times New Roman" w:cs="Times New Roman"/>
      <w:b/>
      <w:bCs/>
      <w:sz w:val="27"/>
      <w:szCs w:val="27"/>
      <w:lang w:eastAsia="de-DE"/>
    </w:rPr>
  </w:style>
  <w:style w:type="character" w:customStyle="1" w:styleId="berschrift1Zchn">
    <w:name w:val="Überschrift 1 Zchn"/>
    <w:link w:val="berschrift1"/>
    <w:uiPriority w:val="9"/>
    <w:rsid w:val="0028515F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HTMLVorformatiert">
    <w:name w:val="HTML Preformatted"/>
    <w:basedOn w:val="Standard"/>
    <w:link w:val="HTMLVorformatiertZchn"/>
    <w:uiPriority w:val="99"/>
    <w:semiHidden/>
    <w:unhideWhenUsed/>
    <w:rsid w:val="0028515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val="x-none" w:eastAsia="de-DE"/>
    </w:rPr>
  </w:style>
  <w:style w:type="character" w:customStyle="1" w:styleId="HTMLVorformatiertZchn">
    <w:name w:val="HTML Vorformatiert Zchn"/>
    <w:link w:val="HTMLVorformatiert"/>
    <w:uiPriority w:val="99"/>
    <w:semiHidden/>
    <w:rsid w:val="0028515F"/>
    <w:rPr>
      <w:rFonts w:ascii="Courier New" w:eastAsia="Times New Roman" w:hAnsi="Courier New" w:cs="Courier New"/>
      <w:sz w:val="20"/>
      <w:szCs w:val="20"/>
      <w:lang w:eastAsia="de-DE"/>
    </w:rPr>
  </w:style>
  <w:style w:type="table" w:customStyle="1" w:styleId="Tabellengitternetz">
    <w:name w:val="Tabellengitternetz"/>
    <w:basedOn w:val="NormaleTabelle"/>
    <w:uiPriority w:val="59"/>
    <w:rsid w:val="002851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2A5D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A5D13"/>
  </w:style>
  <w:style w:type="paragraph" w:styleId="Fuzeile">
    <w:name w:val="footer"/>
    <w:basedOn w:val="Standard"/>
    <w:link w:val="FuzeileZchn"/>
    <w:uiPriority w:val="99"/>
    <w:unhideWhenUsed/>
    <w:rsid w:val="002A5D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A5D13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A5D13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SprechblasentextZchn">
    <w:name w:val="Sprechblasentext Zchn"/>
    <w:link w:val="Sprechblasentext"/>
    <w:uiPriority w:val="99"/>
    <w:semiHidden/>
    <w:rsid w:val="002A5D13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661981"/>
    <w:pPr>
      <w:spacing w:after="0" w:line="240" w:lineRule="auto"/>
      <w:ind w:left="720"/>
      <w:contextualSpacing/>
    </w:pPr>
    <w:rPr>
      <w:rFonts w:ascii="Times New Roman" w:eastAsia="Times New Roman" w:hAnsi="Times New Roman"/>
      <w:bCs/>
      <w:sz w:val="20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997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3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9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1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1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Ausgabe 01 - 2014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0855CC45-F35D-4848-8AED-5115BE2A93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549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Praxis: Soziale Betreuung</vt:lpstr>
    </vt:vector>
  </TitlesOfParts>
  <Company>Microsoft</Company>
  <LinksUpToDate>false</LinksUpToDate>
  <CharactersWithSpaces>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Praxis: Soziale Betreuung</dc:title>
  <dc:subject/>
  <dc:creator>Dominik Muhle</dc:creator>
  <cp:keywords/>
  <cp:lastModifiedBy>Korinna Wulfinghoff</cp:lastModifiedBy>
  <cp:revision>2</cp:revision>
  <cp:lastPrinted>2013-12-09T12:30:00Z</cp:lastPrinted>
  <dcterms:created xsi:type="dcterms:W3CDTF">2026-04-29T10:49:00Z</dcterms:created>
  <dcterms:modified xsi:type="dcterms:W3CDTF">2026-04-29T10:49:00Z</dcterms:modified>
</cp:coreProperties>
</file>