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6FC30" w14:textId="65264695" w:rsidR="006A5614" w:rsidRPr="006A5614" w:rsidRDefault="007A7CA7" w:rsidP="006A5614">
      <w:pPr>
        <w:tabs>
          <w:tab w:val="left" w:pos="5280"/>
        </w:tabs>
        <w:rPr>
          <w:b/>
          <w:noProof/>
          <w:lang w:eastAsia="de-DE"/>
        </w:rPr>
      </w:pPr>
      <w:r>
        <w:rPr>
          <w:b/>
          <w:noProof/>
          <w:lang w:eastAsia="de-DE"/>
        </w:rPr>
        <w:tab/>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7513"/>
      </w:tblGrid>
      <w:tr w:rsidR="006A5614" w:rsidRPr="006A5614" w14:paraId="445FB392" w14:textId="77777777" w:rsidTr="006A5614">
        <w:trPr>
          <w:trHeight w:val="122"/>
          <w:jc w:val="center"/>
        </w:trPr>
        <w:tc>
          <w:tcPr>
            <w:tcW w:w="9776" w:type="dxa"/>
            <w:gridSpan w:val="2"/>
            <w:shd w:val="clear" w:color="auto" w:fill="0099CC"/>
          </w:tcPr>
          <w:p w14:paraId="18D527AC" w14:textId="7D0402E0" w:rsidR="006A5614" w:rsidRPr="006A5614" w:rsidRDefault="006A5614" w:rsidP="006A5614">
            <w:pPr>
              <w:spacing w:before="120" w:after="120"/>
              <w:rPr>
                <w:rFonts w:ascii="Arial" w:hAnsi="Arial" w:cs="Arial"/>
                <w:b/>
                <w:color w:val="FFFFFF"/>
                <w:sz w:val="28"/>
                <w:szCs w:val="28"/>
              </w:rPr>
            </w:pPr>
            <w:r w:rsidRPr="006A5614">
              <w:rPr>
                <w:rFonts w:ascii="Arial" w:hAnsi="Arial" w:cs="Arial"/>
                <w:b/>
                <w:color w:val="FFFFFF"/>
                <w:sz w:val="28"/>
                <w:szCs w:val="28"/>
              </w:rPr>
              <w:t xml:space="preserve">Übersicht: Die 5 </w:t>
            </w:r>
            <w:r>
              <w:rPr>
                <w:rFonts w:ascii="Arial" w:hAnsi="Arial" w:cs="Arial"/>
                <w:b/>
                <w:color w:val="FFFFFF"/>
                <w:sz w:val="28"/>
                <w:szCs w:val="28"/>
              </w:rPr>
              <w:t>w</w:t>
            </w:r>
            <w:r w:rsidRPr="006A5614">
              <w:rPr>
                <w:rFonts w:ascii="Arial" w:hAnsi="Arial" w:cs="Arial"/>
                <w:b/>
                <w:color w:val="FFFFFF"/>
                <w:sz w:val="28"/>
                <w:szCs w:val="28"/>
              </w:rPr>
              <w:t xml:space="preserve">ichtigsten Verträge </w:t>
            </w:r>
            <w:r>
              <w:rPr>
                <w:rFonts w:ascii="Arial" w:hAnsi="Arial" w:cs="Arial"/>
                <w:b/>
                <w:color w:val="FFFFFF"/>
                <w:sz w:val="28"/>
                <w:szCs w:val="28"/>
              </w:rPr>
              <w:t>e</w:t>
            </w:r>
            <w:r w:rsidRPr="006A5614">
              <w:rPr>
                <w:rFonts w:ascii="Arial" w:hAnsi="Arial" w:cs="Arial"/>
                <w:b/>
                <w:color w:val="FFFFFF"/>
                <w:sz w:val="28"/>
                <w:szCs w:val="28"/>
              </w:rPr>
              <w:t xml:space="preserve">ines </w:t>
            </w:r>
            <w:r>
              <w:rPr>
                <w:rFonts w:ascii="Arial" w:hAnsi="Arial" w:cs="Arial"/>
                <w:b/>
                <w:color w:val="FFFFFF"/>
                <w:sz w:val="28"/>
                <w:szCs w:val="28"/>
              </w:rPr>
              <w:t>a</w:t>
            </w:r>
            <w:r w:rsidRPr="006A5614">
              <w:rPr>
                <w:rFonts w:ascii="Arial" w:hAnsi="Arial" w:cs="Arial"/>
                <w:b/>
                <w:color w:val="FFFFFF"/>
                <w:sz w:val="28"/>
                <w:szCs w:val="28"/>
              </w:rPr>
              <w:t>mbulanten Pflegedienstes</w:t>
            </w:r>
          </w:p>
        </w:tc>
      </w:tr>
      <w:tr w:rsidR="006A5614" w:rsidRPr="006A5614" w14:paraId="112042B3" w14:textId="77777777" w:rsidTr="006A5614">
        <w:trPr>
          <w:trHeight w:val="122"/>
          <w:jc w:val="center"/>
        </w:trPr>
        <w:tc>
          <w:tcPr>
            <w:tcW w:w="2263" w:type="dxa"/>
            <w:shd w:val="clear" w:color="auto" w:fill="DAEEF3"/>
          </w:tcPr>
          <w:p w14:paraId="5748A2BB" w14:textId="77777777" w:rsidR="006A5614" w:rsidRPr="006A5614" w:rsidRDefault="006A5614" w:rsidP="006A5614">
            <w:pPr>
              <w:spacing w:before="120" w:after="120"/>
              <w:rPr>
                <w:rFonts w:ascii="Arial" w:hAnsi="Arial" w:cs="Arial"/>
                <w:b/>
                <w:color w:val="000000" w:themeColor="text1"/>
                <w:sz w:val="24"/>
                <w:szCs w:val="24"/>
              </w:rPr>
            </w:pPr>
            <w:r w:rsidRPr="006A5614">
              <w:rPr>
                <w:rFonts w:ascii="Arial" w:hAnsi="Arial" w:cs="Arial"/>
                <w:b/>
                <w:color w:val="000000" w:themeColor="text1"/>
                <w:sz w:val="24"/>
                <w:szCs w:val="24"/>
              </w:rPr>
              <w:t xml:space="preserve">Vertrag </w:t>
            </w:r>
          </w:p>
        </w:tc>
        <w:tc>
          <w:tcPr>
            <w:tcW w:w="7513" w:type="dxa"/>
            <w:shd w:val="clear" w:color="auto" w:fill="DAEEF3"/>
          </w:tcPr>
          <w:p w14:paraId="1897C2FE" w14:textId="77777777" w:rsidR="006A5614" w:rsidRPr="006A5614" w:rsidRDefault="006A5614" w:rsidP="006A5614">
            <w:pPr>
              <w:spacing w:before="120" w:after="120"/>
              <w:rPr>
                <w:rFonts w:ascii="Arial" w:hAnsi="Arial" w:cs="Arial"/>
                <w:b/>
                <w:color w:val="000000" w:themeColor="text1"/>
                <w:sz w:val="24"/>
                <w:szCs w:val="24"/>
              </w:rPr>
            </w:pPr>
            <w:r w:rsidRPr="006A5614">
              <w:rPr>
                <w:rFonts w:ascii="Arial" w:hAnsi="Arial" w:cs="Arial"/>
                <w:b/>
                <w:color w:val="000000" w:themeColor="text1"/>
                <w:sz w:val="24"/>
                <w:szCs w:val="24"/>
              </w:rPr>
              <w:t xml:space="preserve">Inhalt </w:t>
            </w:r>
          </w:p>
        </w:tc>
      </w:tr>
      <w:tr w:rsidR="006A5614" w:rsidRPr="006A5614" w14:paraId="61F67ECD" w14:textId="77777777" w:rsidTr="006A5614">
        <w:trPr>
          <w:trHeight w:val="578"/>
          <w:jc w:val="center"/>
        </w:trPr>
        <w:tc>
          <w:tcPr>
            <w:tcW w:w="2263" w:type="dxa"/>
          </w:tcPr>
          <w:p w14:paraId="1DAB77E4" w14:textId="42322D93"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t>1. Versorgungs</w:t>
            </w:r>
            <w:r>
              <w:rPr>
                <w:rFonts w:ascii="Arial" w:hAnsi="Arial" w:cs="Arial"/>
                <w:bCs/>
                <w:color w:val="000000" w:themeColor="text1"/>
                <w:sz w:val="24"/>
                <w:szCs w:val="24"/>
              </w:rPr>
              <w:t>-</w:t>
            </w:r>
            <w:proofErr w:type="spellStart"/>
            <w:r w:rsidRPr="006A5614">
              <w:rPr>
                <w:rFonts w:ascii="Arial" w:hAnsi="Arial" w:cs="Arial"/>
                <w:bCs/>
                <w:color w:val="000000" w:themeColor="text1"/>
                <w:sz w:val="24"/>
                <w:szCs w:val="24"/>
              </w:rPr>
              <w:t>vertrag</w:t>
            </w:r>
            <w:proofErr w:type="spellEnd"/>
            <w:r w:rsidRPr="006A5614">
              <w:rPr>
                <w:rFonts w:ascii="Arial" w:hAnsi="Arial" w:cs="Arial"/>
                <w:bCs/>
                <w:color w:val="000000" w:themeColor="text1"/>
                <w:sz w:val="24"/>
                <w:szCs w:val="24"/>
              </w:rPr>
              <w:t xml:space="preserve"> </w:t>
            </w:r>
            <w:r w:rsidR="00667B17">
              <w:rPr>
                <w:rFonts w:ascii="Arial" w:hAnsi="Arial" w:cs="Arial"/>
                <w:bCs/>
                <w:color w:val="000000" w:themeColor="text1"/>
                <w:sz w:val="24"/>
                <w:szCs w:val="24"/>
              </w:rPr>
              <w:br/>
              <w:t>(</w:t>
            </w:r>
            <w:r w:rsidRPr="006A5614">
              <w:rPr>
                <w:rFonts w:ascii="Arial" w:hAnsi="Arial" w:cs="Arial"/>
                <w:bCs/>
                <w:color w:val="000000" w:themeColor="text1"/>
                <w:sz w:val="24"/>
                <w:szCs w:val="24"/>
              </w:rPr>
              <w:t xml:space="preserve">§ 72 SGB XI) </w:t>
            </w:r>
          </w:p>
        </w:tc>
        <w:tc>
          <w:tcPr>
            <w:tcW w:w="7513" w:type="dxa"/>
          </w:tcPr>
          <w:p w14:paraId="56231568" w14:textId="77777777"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t xml:space="preserve">Der Versorgungsvertrag ist die Grundlage für die Zulassung eines Pflegedienstes. </w:t>
            </w:r>
          </w:p>
          <w:p w14:paraId="1AF91DBC" w14:textId="77777777"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t xml:space="preserve">Er wird zwischen dem einzelnen Pflegedienst und den gesetzlichen Pflegekassen gemeinsam geschlossen. Erst mit diesem Vertrag darf der Pflegedienst Pflegebedürftige im Rahmen der Pflegeversicherung versorgen und Pflegesachleistungen mit den Pflegekassen abrechnen. Ohne Versorgungsvertrag darf ein Pflegedienst keine Leistungen nach SGB XI abrechnen. </w:t>
            </w:r>
          </w:p>
        </w:tc>
      </w:tr>
      <w:tr w:rsidR="006A5614" w:rsidRPr="006A5614" w14:paraId="2B13F821" w14:textId="77777777" w:rsidTr="006A5614">
        <w:trPr>
          <w:trHeight w:val="923"/>
          <w:jc w:val="center"/>
        </w:trPr>
        <w:tc>
          <w:tcPr>
            <w:tcW w:w="2263" w:type="dxa"/>
          </w:tcPr>
          <w:p w14:paraId="486B5F94" w14:textId="1A0B29FC"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t>2. Vergütungs</w:t>
            </w:r>
            <w:r>
              <w:rPr>
                <w:rFonts w:ascii="Arial" w:hAnsi="Arial" w:cs="Arial"/>
                <w:bCs/>
                <w:color w:val="000000" w:themeColor="text1"/>
                <w:sz w:val="24"/>
                <w:szCs w:val="24"/>
              </w:rPr>
              <w:t>-</w:t>
            </w:r>
            <w:r w:rsidRPr="006A5614">
              <w:rPr>
                <w:rFonts w:ascii="Arial" w:hAnsi="Arial" w:cs="Arial"/>
                <w:bCs/>
                <w:color w:val="000000" w:themeColor="text1"/>
                <w:sz w:val="24"/>
                <w:szCs w:val="24"/>
              </w:rPr>
              <w:t xml:space="preserve">vereinbarung </w:t>
            </w:r>
            <w:r w:rsidR="00667B17">
              <w:rPr>
                <w:rFonts w:ascii="Arial" w:hAnsi="Arial" w:cs="Arial"/>
                <w:bCs/>
                <w:color w:val="000000" w:themeColor="text1"/>
                <w:sz w:val="24"/>
                <w:szCs w:val="24"/>
              </w:rPr>
              <w:br/>
            </w:r>
            <w:r w:rsidRPr="006A5614">
              <w:rPr>
                <w:rFonts w:ascii="Arial" w:hAnsi="Arial" w:cs="Arial"/>
                <w:bCs/>
                <w:color w:val="000000" w:themeColor="text1"/>
                <w:sz w:val="24"/>
                <w:szCs w:val="24"/>
              </w:rPr>
              <w:t xml:space="preserve">(§ 89 SGB XI) </w:t>
            </w:r>
          </w:p>
        </w:tc>
        <w:tc>
          <w:tcPr>
            <w:tcW w:w="7513" w:type="dxa"/>
          </w:tcPr>
          <w:p w14:paraId="5A3E9A30" w14:textId="77777777"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t xml:space="preserve">In der Vergütungsvereinbarung wird geregelt, welche Leistungen erbracht werden können und welche Preise hierfür gelten. </w:t>
            </w:r>
          </w:p>
          <w:p w14:paraId="2EAE1315" w14:textId="77777777"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t xml:space="preserve">Dort sind z. B. festgelegt: </w:t>
            </w:r>
          </w:p>
          <w:p w14:paraId="671ED8D4"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color w:val="000000" w:themeColor="text1"/>
                <w:sz w:val="24"/>
              </w:rPr>
            </w:pPr>
            <w:r w:rsidRPr="006A5614">
              <w:rPr>
                <w:rFonts w:ascii="Arial" w:hAnsi="Arial" w:cs="Arial"/>
                <w:bCs w:val="0"/>
                <w:color w:val="000000" w:themeColor="text1"/>
                <w:sz w:val="24"/>
              </w:rPr>
              <w:t xml:space="preserve">Preise, </w:t>
            </w:r>
            <w:r w:rsidRPr="006A5614">
              <w:rPr>
                <w:rFonts w:ascii="Arial" w:hAnsi="Arial" w:cs="Arial"/>
                <w:color w:val="000000" w:themeColor="text1"/>
                <w:sz w:val="24"/>
              </w:rPr>
              <w:t xml:space="preserve">Leistungskomplexe oder Minutenvergütungen </w:t>
            </w:r>
          </w:p>
          <w:p w14:paraId="257132CE"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color w:val="000000" w:themeColor="text1"/>
                <w:sz w:val="24"/>
              </w:rPr>
            </w:pPr>
            <w:r w:rsidRPr="006A5614">
              <w:rPr>
                <w:rFonts w:ascii="Arial" w:hAnsi="Arial" w:cs="Arial"/>
                <w:color w:val="000000" w:themeColor="text1"/>
                <w:sz w:val="24"/>
              </w:rPr>
              <w:t xml:space="preserve">Vergütung für Beratungsbesuche nach § 37 Absatz SGB XI </w:t>
            </w:r>
          </w:p>
          <w:p w14:paraId="02B6D0FF"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bCs w:val="0"/>
                <w:color w:val="000000" w:themeColor="text1"/>
                <w:sz w:val="24"/>
              </w:rPr>
            </w:pPr>
            <w:r w:rsidRPr="006A5614">
              <w:rPr>
                <w:rFonts w:ascii="Arial" w:hAnsi="Arial" w:cs="Arial"/>
                <w:color w:val="000000" w:themeColor="text1"/>
                <w:sz w:val="24"/>
              </w:rPr>
              <w:t>Vergütung von</w:t>
            </w:r>
            <w:r w:rsidRPr="006A5614">
              <w:rPr>
                <w:rFonts w:ascii="Arial" w:hAnsi="Arial" w:cs="Arial"/>
                <w:bCs w:val="0"/>
                <w:color w:val="000000" w:themeColor="text1"/>
                <w:sz w:val="24"/>
              </w:rPr>
              <w:t xml:space="preserve"> Wegepauschalen </w:t>
            </w:r>
          </w:p>
          <w:p w14:paraId="53EFA183" w14:textId="59142149"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t xml:space="preserve">Diese Vereinbarung wird mit den Pflegekassen und den örtlichen Sozialhilfeträgern abgeschlossen. </w:t>
            </w:r>
          </w:p>
        </w:tc>
      </w:tr>
      <w:tr w:rsidR="006A5614" w:rsidRPr="006A5614" w14:paraId="032735EF" w14:textId="77777777" w:rsidTr="006A5614">
        <w:trPr>
          <w:trHeight w:val="1153"/>
          <w:jc w:val="center"/>
        </w:trPr>
        <w:tc>
          <w:tcPr>
            <w:tcW w:w="2263" w:type="dxa"/>
          </w:tcPr>
          <w:p w14:paraId="3822E627" w14:textId="77777777"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t xml:space="preserve">3. Rahmenvertrag (§ 75 SGB XI) </w:t>
            </w:r>
          </w:p>
        </w:tc>
        <w:tc>
          <w:tcPr>
            <w:tcW w:w="7513" w:type="dxa"/>
          </w:tcPr>
          <w:p w14:paraId="2DE429AE" w14:textId="77777777"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t xml:space="preserve">Die Landesverbände der Pflegekassen schließen unter Beteiligung des Medizinischen Dienstes sowie des Verbandes der privaten Krankenversicherung e. V. im Land mit den Vereinigungen der Träger der ambulanten Pflegeeinrichtungen im Land gemeinsam und einheitlich einen Rahmenvertrag. Er regelt grundlegende Fragen wie: </w:t>
            </w:r>
          </w:p>
          <w:p w14:paraId="251FC4F1"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color w:val="000000" w:themeColor="text1"/>
                <w:sz w:val="24"/>
              </w:rPr>
            </w:pPr>
            <w:r w:rsidRPr="006A5614">
              <w:rPr>
                <w:rFonts w:ascii="Arial" w:hAnsi="Arial" w:cs="Arial"/>
                <w:bCs w:val="0"/>
                <w:color w:val="000000" w:themeColor="text1"/>
                <w:sz w:val="24"/>
              </w:rPr>
              <w:t xml:space="preserve">Organisation </w:t>
            </w:r>
            <w:r w:rsidRPr="006A5614">
              <w:rPr>
                <w:rFonts w:ascii="Arial" w:hAnsi="Arial" w:cs="Arial"/>
                <w:color w:val="000000" w:themeColor="text1"/>
                <w:sz w:val="24"/>
              </w:rPr>
              <w:t xml:space="preserve">der Versorgung </w:t>
            </w:r>
          </w:p>
          <w:p w14:paraId="4ED30507"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color w:val="000000" w:themeColor="text1"/>
                <w:sz w:val="24"/>
              </w:rPr>
            </w:pPr>
            <w:r w:rsidRPr="006A5614">
              <w:rPr>
                <w:rFonts w:ascii="Arial" w:hAnsi="Arial" w:cs="Arial"/>
                <w:color w:val="000000" w:themeColor="text1"/>
                <w:sz w:val="24"/>
              </w:rPr>
              <w:t xml:space="preserve">Dokumentationspflichten </w:t>
            </w:r>
          </w:p>
          <w:p w14:paraId="1074AF38"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color w:val="000000" w:themeColor="text1"/>
                <w:sz w:val="24"/>
              </w:rPr>
            </w:pPr>
            <w:r w:rsidRPr="006A5614">
              <w:rPr>
                <w:rFonts w:ascii="Arial" w:hAnsi="Arial" w:cs="Arial"/>
                <w:color w:val="000000" w:themeColor="text1"/>
                <w:sz w:val="24"/>
              </w:rPr>
              <w:t xml:space="preserve">Personalqualifikation </w:t>
            </w:r>
          </w:p>
          <w:p w14:paraId="6772AA5E"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color w:val="000000" w:themeColor="text1"/>
                <w:sz w:val="24"/>
              </w:rPr>
            </w:pPr>
            <w:r w:rsidRPr="006A5614">
              <w:rPr>
                <w:rFonts w:ascii="Arial" w:hAnsi="Arial" w:cs="Arial"/>
                <w:color w:val="000000" w:themeColor="text1"/>
                <w:sz w:val="24"/>
              </w:rPr>
              <w:t xml:space="preserve">Zusammenarbeit mit Ärzten und Kassen </w:t>
            </w:r>
          </w:p>
          <w:p w14:paraId="34FECCBD"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bCs w:val="0"/>
                <w:color w:val="000000" w:themeColor="text1"/>
                <w:sz w:val="24"/>
              </w:rPr>
            </w:pPr>
            <w:r w:rsidRPr="006A5614">
              <w:rPr>
                <w:rFonts w:ascii="Arial" w:hAnsi="Arial" w:cs="Arial"/>
                <w:color w:val="000000" w:themeColor="text1"/>
                <w:sz w:val="24"/>
              </w:rPr>
              <w:t>Qualitätsanforde</w:t>
            </w:r>
            <w:r w:rsidRPr="006A5614">
              <w:rPr>
                <w:rFonts w:ascii="Arial" w:hAnsi="Arial" w:cs="Arial"/>
                <w:bCs w:val="0"/>
                <w:color w:val="000000" w:themeColor="text1"/>
                <w:sz w:val="24"/>
              </w:rPr>
              <w:t xml:space="preserve">rungen </w:t>
            </w:r>
          </w:p>
          <w:p w14:paraId="002AC07D" w14:textId="77777777"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t xml:space="preserve">Alle zugelassenen Pflegedienste müssen sich an diesen Rahmenvertrag halten. </w:t>
            </w:r>
          </w:p>
        </w:tc>
      </w:tr>
      <w:tr w:rsidR="006A5614" w:rsidRPr="006A5614" w14:paraId="3AECCB41" w14:textId="77777777" w:rsidTr="006A5614">
        <w:trPr>
          <w:trHeight w:val="1383"/>
          <w:jc w:val="center"/>
        </w:trPr>
        <w:tc>
          <w:tcPr>
            <w:tcW w:w="2263" w:type="dxa"/>
          </w:tcPr>
          <w:p w14:paraId="124CBFFC" w14:textId="39566A42"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lastRenderedPageBreak/>
              <w:t>4. Vertrag und Vergütungs</w:t>
            </w:r>
            <w:r w:rsidRPr="006A5614">
              <w:rPr>
                <w:rFonts w:ascii="Arial" w:hAnsi="Arial" w:cs="Arial"/>
                <w:bCs/>
                <w:color w:val="000000" w:themeColor="text1"/>
                <w:sz w:val="24"/>
                <w:szCs w:val="24"/>
              </w:rPr>
              <w:softHyphen/>
              <w:t xml:space="preserve">vereinbarung zur häuslichen Krankenpflege </w:t>
            </w:r>
            <w:r w:rsidR="00667B17">
              <w:rPr>
                <w:rFonts w:ascii="Arial" w:hAnsi="Arial" w:cs="Arial"/>
                <w:bCs/>
                <w:color w:val="000000" w:themeColor="text1"/>
                <w:sz w:val="24"/>
                <w:szCs w:val="24"/>
              </w:rPr>
              <w:br/>
            </w:r>
            <w:r w:rsidRPr="006A5614">
              <w:rPr>
                <w:rFonts w:ascii="Arial" w:hAnsi="Arial" w:cs="Arial"/>
                <w:bCs/>
                <w:color w:val="000000" w:themeColor="text1"/>
                <w:sz w:val="24"/>
                <w:szCs w:val="24"/>
              </w:rPr>
              <w:t xml:space="preserve">(§ 132a SGB V) </w:t>
            </w:r>
          </w:p>
        </w:tc>
        <w:tc>
          <w:tcPr>
            <w:tcW w:w="7513" w:type="dxa"/>
          </w:tcPr>
          <w:p w14:paraId="256DE434" w14:textId="3B4FD2D0"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t xml:space="preserve">Damit ein Pflegedienst Behandlungspflege, sog. HKP-Leistungen, entsprechend einer ärztlichen Verordnung mit den Krankenkassen abrechnen kann, benötigt er zusätzlich einen Vertrag nach § 132a SGB V. Dieser Vertrag betrifft Leistungen, die ärztlich angeordnet und in der HKP-Richtlinie gelistet sind, wie: </w:t>
            </w:r>
          </w:p>
          <w:p w14:paraId="03D8654A"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color w:val="000000" w:themeColor="text1"/>
                <w:sz w:val="24"/>
              </w:rPr>
            </w:pPr>
            <w:r w:rsidRPr="006A5614">
              <w:rPr>
                <w:rFonts w:ascii="Arial" w:hAnsi="Arial" w:cs="Arial"/>
                <w:color w:val="000000" w:themeColor="text1"/>
                <w:sz w:val="24"/>
              </w:rPr>
              <w:t xml:space="preserve">Medikamentengabe </w:t>
            </w:r>
          </w:p>
          <w:p w14:paraId="1FB2812B"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color w:val="000000" w:themeColor="text1"/>
                <w:sz w:val="24"/>
              </w:rPr>
            </w:pPr>
            <w:r w:rsidRPr="006A5614">
              <w:rPr>
                <w:rFonts w:ascii="Arial" w:hAnsi="Arial" w:cs="Arial"/>
                <w:color w:val="000000" w:themeColor="text1"/>
                <w:sz w:val="24"/>
              </w:rPr>
              <w:t xml:space="preserve">Injektionen </w:t>
            </w:r>
          </w:p>
          <w:p w14:paraId="1E121013"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color w:val="000000" w:themeColor="text1"/>
                <w:sz w:val="24"/>
              </w:rPr>
            </w:pPr>
            <w:r w:rsidRPr="006A5614">
              <w:rPr>
                <w:rFonts w:ascii="Arial" w:hAnsi="Arial" w:cs="Arial"/>
                <w:color w:val="000000" w:themeColor="text1"/>
                <w:sz w:val="24"/>
              </w:rPr>
              <w:t xml:space="preserve">Wundversorgung </w:t>
            </w:r>
          </w:p>
          <w:p w14:paraId="35FF62A3"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color w:val="000000" w:themeColor="text1"/>
                <w:sz w:val="24"/>
              </w:rPr>
            </w:pPr>
            <w:r w:rsidRPr="006A5614">
              <w:rPr>
                <w:rFonts w:ascii="Arial" w:hAnsi="Arial" w:cs="Arial"/>
                <w:color w:val="000000" w:themeColor="text1"/>
                <w:sz w:val="24"/>
              </w:rPr>
              <w:t xml:space="preserve">Blutzuckermessung </w:t>
            </w:r>
          </w:p>
          <w:p w14:paraId="2177CC1D"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bCs w:val="0"/>
                <w:color w:val="000000" w:themeColor="text1"/>
                <w:sz w:val="24"/>
              </w:rPr>
            </w:pPr>
            <w:r w:rsidRPr="006A5614">
              <w:rPr>
                <w:rFonts w:ascii="Arial" w:hAnsi="Arial" w:cs="Arial"/>
                <w:color w:val="000000" w:themeColor="text1"/>
                <w:sz w:val="24"/>
              </w:rPr>
              <w:t>Kompressionsstrümpfe an- und</w:t>
            </w:r>
            <w:r w:rsidRPr="006A5614">
              <w:rPr>
                <w:rFonts w:ascii="Arial" w:hAnsi="Arial" w:cs="Arial"/>
                <w:bCs w:val="0"/>
                <w:color w:val="000000" w:themeColor="text1"/>
                <w:sz w:val="24"/>
              </w:rPr>
              <w:t xml:space="preserve"> ausziehen </w:t>
            </w:r>
          </w:p>
          <w:p w14:paraId="67AB8A7D" w14:textId="77777777"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t xml:space="preserve">Auch hier werden Vergütung, Qualitätsanforderungen und Abrechnungsregeln festgelegt. In der Regel handelt es sich um Rahmenverträge nach §§ 132, 132a SGB V, die über Ihren Verband verhandelt werden und denen Sie mit Ihrem ambulanten Pflegedienst beitreten können. </w:t>
            </w:r>
          </w:p>
        </w:tc>
      </w:tr>
      <w:tr w:rsidR="006A5614" w:rsidRPr="006A5614" w14:paraId="30DAE019" w14:textId="77777777" w:rsidTr="006A5614">
        <w:trPr>
          <w:trHeight w:val="1153"/>
          <w:jc w:val="center"/>
        </w:trPr>
        <w:tc>
          <w:tcPr>
            <w:tcW w:w="2263" w:type="dxa"/>
          </w:tcPr>
          <w:p w14:paraId="293E6165" w14:textId="43374B48"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t xml:space="preserve">5. Pflegevertrag mit dem Pflegekunden </w:t>
            </w:r>
            <w:r w:rsidR="00667B17">
              <w:rPr>
                <w:rFonts w:ascii="Arial" w:hAnsi="Arial" w:cs="Arial"/>
                <w:bCs/>
                <w:color w:val="000000" w:themeColor="text1"/>
                <w:sz w:val="24"/>
                <w:szCs w:val="24"/>
              </w:rPr>
              <w:br/>
            </w:r>
            <w:r w:rsidRPr="006A5614">
              <w:rPr>
                <w:rFonts w:ascii="Arial" w:hAnsi="Arial" w:cs="Arial"/>
                <w:bCs/>
                <w:color w:val="000000" w:themeColor="text1"/>
                <w:sz w:val="24"/>
                <w:szCs w:val="24"/>
              </w:rPr>
              <w:t xml:space="preserve">(§ 120 SGB XI) </w:t>
            </w:r>
          </w:p>
        </w:tc>
        <w:tc>
          <w:tcPr>
            <w:tcW w:w="7513" w:type="dxa"/>
          </w:tcPr>
          <w:p w14:paraId="592B1EEE" w14:textId="77777777"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t xml:space="preserve">Der Pflegevertrag wird zwischen dem Pflegedienst und dem Pflegekunden geschlossen. Er regelt u. a.: </w:t>
            </w:r>
          </w:p>
          <w:p w14:paraId="664E75FD"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color w:val="000000" w:themeColor="text1"/>
                <w:sz w:val="24"/>
              </w:rPr>
            </w:pPr>
            <w:r w:rsidRPr="006A5614">
              <w:rPr>
                <w:rFonts w:ascii="Arial" w:hAnsi="Arial" w:cs="Arial"/>
                <w:color w:val="000000" w:themeColor="text1"/>
                <w:sz w:val="24"/>
              </w:rPr>
              <w:t xml:space="preserve">welche Leistungen der Pflegedienst im Rahmen der SGB-XI-Leistungen erbringt </w:t>
            </w:r>
          </w:p>
          <w:p w14:paraId="6B114978"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color w:val="000000" w:themeColor="text1"/>
                <w:sz w:val="24"/>
              </w:rPr>
            </w:pPr>
            <w:r w:rsidRPr="006A5614">
              <w:rPr>
                <w:rFonts w:ascii="Arial" w:hAnsi="Arial" w:cs="Arial"/>
                <w:color w:val="000000" w:themeColor="text1"/>
                <w:sz w:val="24"/>
              </w:rPr>
              <w:t xml:space="preserve">welche Kosten entstehen </w:t>
            </w:r>
          </w:p>
          <w:p w14:paraId="113C6347"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color w:val="000000" w:themeColor="text1"/>
                <w:sz w:val="24"/>
              </w:rPr>
            </w:pPr>
            <w:r w:rsidRPr="006A5614">
              <w:rPr>
                <w:rFonts w:ascii="Arial" w:hAnsi="Arial" w:cs="Arial"/>
                <w:color w:val="000000" w:themeColor="text1"/>
                <w:sz w:val="24"/>
              </w:rPr>
              <w:t xml:space="preserve">Kündigungsfristen </w:t>
            </w:r>
          </w:p>
          <w:p w14:paraId="54B956CF" w14:textId="77777777" w:rsidR="006A5614" w:rsidRPr="006A5614" w:rsidRDefault="006A5614" w:rsidP="006A5614">
            <w:pPr>
              <w:pStyle w:val="Listenabsatz"/>
              <w:numPr>
                <w:ilvl w:val="0"/>
                <w:numId w:val="42"/>
              </w:numPr>
              <w:spacing w:before="120" w:after="120" w:line="276" w:lineRule="auto"/>
              <w:ind w:left="307" w:hanging="218"/>
              <w:rPr>
                <w:rFonts w:ascii="Arial" w:hAnsi="Arial" w:cs="Arial"/>
                <w:color w:val="000000" w:themeColor="text1"/>
                <w:sz w:val="24"/>
              </w:rPr>
            </w:pPr>
            <w:r w:rsidRPr="006A5614">
              <w:rPr>
                <w:rFonts w:ascii="Arial" w:hAnsi="Arial" w:cs="Arial"/>
                <w:color w:val="000000" w:themeColor="text1"/>
                <w:sz w:val="24"/>
              </w:rPr>
              <w:t xml:space="preserve">Zusatzleistungen </w:t>
            </w:r>
          </w:p>
          <w:p w14:paraId="03F21997" w14:textId="220C69BF" w:rsidR="006A5614" w:rsidRPr="006A5614" w:rsidRDefault="006A5614" w:rsidP="006A5614">
            <w:pPr>
              <w:pStyle w:val="Listenabsatz"/>
              <w:numPr>
                <w:ilvl w:val="0"/>
                <w:numId w:val="42"/>
              </w:numPr>
              <w:spacing w:before="120" w:after="120" w:line="276" w:lineRule="auto"/>
              <w:ind w:left="307" w:hanging="218"/>
              <w:rPr>
                <w:rFonts w:ascii="Arial" w:hAnsi="Arial" w:cs="Arial"/>
                <w:color w:val="000000" w:themeColor="text1"/>
                <w:sz w:val="24"/>
              </w:rPr>
            </w:pPr>
            <w:r w:rsidRPr="006A5614">
              <w:rPr>
                <w:rFonts w:ascii="Arial" w:hAnsi="Arial" w:cs="Arial"/>
                <w:color w:val="000000" w:themeColor="text1"/>
                <w:sz w:val="24"/>
              </w:rPr>
              <w:t xml:space="preserve">Zahlungspflichten </w:t>
            </w:r>
          </w:p>
          <w:p w14:paraId="79CC620F" w14:textId="77777777" w:rsidR="006A5614" w:rsidRPr="006A5614" w:rsidRDefault="006A5614" w:rsidP="006A5614">
            <w:pPr>
              <w:spacing w:before="120" w:after="120"/>
              <w:rPr>
                <w:rFonts w:ascii="Arial" w:hAnsi="Arial" w:cs="Arial"/>
                <w:bCs/>
                <w:color w:val="000000" w:themeColor="text1"/>
                <w:sz w:val="24"/>
                <w:szCs w:val="24"/>
              </w:rPr>
            </w:pPr>
            <w:r w:rsidRPr="006A5614">
              <w:rPr>
                <w:rFonts w:ascii="Arial" w:hAnsi="Arial" w:cs="Arial"/>
                <w:bCs/>
                <w:color w:val="000000" w:themeColor="text1"/>
                <w:sz w:val="24"/>
                <w:szCs w:val="24"/>
              </w:rPr>
              <w:t xml:space="preserve">Dieser Vertrag schützt sowohl den Pflegekunden als auch den Pflegedienst und ist gesetzlich vorgeschrieben. Behandlungspflegeverträge hingegen sind zwar empfehlenswert, aber nicht vorgeschrieben. </w:t>
            </w:r>
          </w:p>
        </w:tc>
      </w:tr>
    </w:tbl>
    <w:p w14:paraId="5EBFE7DB" w14:textId="77777777" w:rsidR="006A5614" w:rsidRPr="00581B4B" w:rsidRDefault="006A5614" w:rsidP="00581B4B"/>
    <w:sectPr w:rsidR="006A5614" w:rsidRPr="00581B4B" w:rsidSect="006A5614">
      <w:headerReference w:type="default" r:id="rId7"/>
      <w:pgSz w:w="11906" w:h="16838" w:code="9"/>
      <w:pgMar w:top="-1276" w:right="1418" w:bottom="24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B9C59" w14:textId="77777777" w:rsidR="004304B3" w:rsidRDefault="004304B3" w:rsidP="002A5D13">
      <w:pPr>
        <w:spacing w:after="0" w:line="240" w:lineRule="auto"/>
      </w:pPr>
      <w:r>
        <w:separator/>
      </w:r>
    </w:p>
  </w:endnote>
  <w:endnote w:type="continuationSeparator" w:id="0">
    <w:p w14:paraId="3FADD735" w14:textId="77777777" w:rsidR="004304B3" w:rsidRDefault="004304B3"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gfa Rotis Semisans">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101B4" w14:textId="77777777" w:rsidR="004304B3" w:rsidRDefault="004304B3" w:rsidP="002A5D13">
      <w:pPr>
        <w:spacing w:after="0" w:line="240" w:lineRule="auto"/>
      </w:pPr>
      <w:r>
        <w:separator/>
      </w:r>
    </w:p>
  </w:footnote>
  <w:footnote w:type="continuationSeparator" w:id="0">
    <w:p w14:paraId="07FFE13E" w14:textId="77777777" w:rsidR="004304B3" w:rsidRDefault="004304B3"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0099CC"/>
      </w:tblBorders>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2E30AA29" w14:textId="77777777" w:rsidTr="00E028D9">
      <w:tc>
        <w:tcPr>
          <w:tcW w:w="1500" w:type="pct"/>
          <w:shd w:val="clear" w:color="auto" w:fill="0099CC"/>
          <w:vAlign w:val="center"/>
        </w:tcPr>
        <w:p w14:paraId="430CE61E" w14:textId="55BEF9F8" w:rsidR="007A7CA7" w:rsidRPr="00E74AD6" w:rsidRDefault="00D97E25" w:rsidP="00D97E25">
          <w:pPr>
            <w:pStyle w:val="Kopfzeile"/>
            <w:jc w:val="center"/>
            <w:rPr>
              <w:b/>
              <w:color w:val="DAEEF3"/>
            </w:rPr>
          </w:pPr>
          <w:r>
            <w:rPr>
              <w:b/>
              <w:color w:val="DAEEF3"/>
              <w:sz w:val="24"/>
            </w:rPr>
            <w:t xml:space="preserve">Ausgabe </w:t>
          </w:r>
          <w:r w:rsidR="00D32BB3">
            <w:rPr>
              <w:b/>
              <w:color w:val="DAEEF3"/>
              <w:sz w:val="24"/>
            </w:rPr>
            <w:t>1</w:t>
          </w:r>
          <w:r w:rsidR="002F41D3">
            <w:rPr>
              <w:b/>
              <w:color w:val="DAEEF3"/>
              <w:sz w:val="24"/>
            </w:rPr>
            <w:t>1</w:t>
          </w:r>
          <w:r w:rsidR="00A42A0D">
            <w:rPr>
              <w:b/>
              <w:color w:val="DAEEF3"/>
              <w:sz w:val="24"/>
            </w:rPr>
            <w:t xml:space="preserve"> - 20</w:t>
          </w:r>
          <w:r w:rsidR="009000A8">
            <w:rPr>
              <w:b/>
              <w:color w:val="DAEEF3"/>
              <w:sz w:val="24"/>
            </w:rPr>
            <w:t>2</w:t>
          </w:r>
          <w:r w:rsidR="002F41D3">
            <w:rPr>
              <w:b/>
              <w:color w:val="DAEEF3"/>
              <w:sz w:val="24"/>
            </w:rPr>
            <w:t>6</w:t>
          </w:r>
        </w:p>
      </w:tc>
      <w:tc>
        <w:tcPr>
          <w:tcW w:w="4000" w:type="pct"/>
          <w:vAlign w:val="bottom"/>
        </w:tcPr>
        <w:p w14:paraId="60E4E6D0" w14:textId="77777777" w:rsidR="007A7CA7" w:rsidRDefault="008C0D29" w:rsidP="007A7CA7">
          <w:pPr>
            <w:pStyle w:val="Kopfzeile"/>
            <w:rPr>
              <w:b/>
              <w:bCs/>
              <w:color w:val="76923C"/>
              <w:sz w:val="28"/>
            </w:rPr>
          </w:pPr>
          <w:r>
            <w:rPr>
              <w:bCs/>
              <w:sz w:val="36"/>
            </w:rPr>
            <w:t xml:space="preserve"> </w:t>
          </w:r>
          <w:proofErr w:type="spellStart"/>
          <w:proofErr w:type="gramStart"/>
          <w:r w:rsidR="000C66D4">
            <w:rPr>
              <w:bCs/>
              <w:color w:val="808080"/>
              <w:sz w:val="36"/>
            </w:rPr>
            <w:t>pdl.</w:t>
          </w:r>
          <w:r w:rsidR="00E028D9" w:rsidRPr="00E74AD6">
            <w:rPr>
              <w:bCs/>
              <w:i/>
              <w:color w:val="808080"/>
              <w:sz w:val="36"/>
            </w:rPr>
            <w:t>konkret</w:t>
          </w:r>
          <w:proofErr w:type="spellEnd"/>
          <w:proofErr w:type="gramEnd"/>
          <w:r w:rsidR="00E028D9" w:rsidRPr="00E74AD6">
            <w:rPr>
              <w:bCs/>
              <w:i/>
              <w:color w:val="808080"/>
              <w:sz w:val="36"/>
            </w:rPr>
            <w:t xml:space="preserve"> ambulant</w:t>
          </w:r>
        </w:p>
        <w:p w14:paraId="48779234" w14:textId="77777777" w:rsidR="008522CE" w:rsidRPr="00E74AD6" w:rsidRDefault="008C0D29" w:rsidP="00E028D9">
          <w:pPr>
            <w:pStyle w:val="Kopfzeile"/>
            <w:rPr>
              <w:b/>
              <w:bCs/>
              <w:color w:val="808080"/>
              <w:sz w:val="16"/>
            </w:rPr>
          </w:pPr>
          <w:r w:rsidRPr="00E74AD6">
            <w:rPr>
              <w:b/>
              <w:bCs/>
              <w:color w:val="808080"/>
              <w:sz w:val="16"/>
            </w:rPr>
            <w:t>D</w:t>
          </w:r>
          <w:r w:rsidR="00E028D9" w:rsidRPr="00E74AD6">
            <w:rPr>
              <w:b/>
              <w:bCs/>
              <w:color w:val="808080"/>
              <w:sz w:val="16"/>
            </w:rPr>
            <w:t>er praxisnahe Informationsdienst für die Leitung von ambulanten Pflegediensten</w:t>
          </w:r>
        </w:p>
      </w:tc>
    </w:tr>
  </w:tbl>
  <w:p w14:paraId="48CB915E" w14:textId="77777777" w:rsidR="007A7CA7" w:rsidRDefault="007A7CA7" w:rsidP="00DA1ADE">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729BA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F1806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566A2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D4077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0AA2254A"/>
    <w:multiLevelType w:val="hybridMultilevel"/>
    <w:tmpl w:val="A2201E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DB46A5A"/>
    <w:multiLevelType w:val="hybridMultilevel"/>
    <w:tmpl w:val="95EC192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1C31309"/>
    <w:multiLevelType w:val="hybridMultilevel"/>
    <w:tmpl w:val="02AE0F22"/>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8F76BF"/>
    <w:multiLevelType w:val="hybridMultilevel"/>
    <w:tmpl w:val="A9ACA1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328B9F4"/>
    <w:multiLevelType w:val="hybridMultilevel"/>
    <w:tmpl w:val="4CE07C2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A19F25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C22376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D0B4149"/>
    <w:multiLevelType w:val="hybridMultilevel"/>
    <w:tmpl w:val="82C893C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D794621"/>
    <w:multiLevelType w:val="hybridMultilevel"/>
    <w:tmpl w:val="553EB2FE"/>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E4A06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CD8D32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9"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0"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1"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2"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3"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34"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06E22D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E837821"/>
    <w:multiLevelType w:val="hybridMultilevel"/>
    <w:tmpl w:val="B31815B4"/>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3560183"/>
    <w:multiLevelType w:val="hybridMultilevel"/>
    <w:tmpl w:val="47E2288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58E0BED"/>
    <w:multiLevelType w:val="hybridMultilevel"/>
    <w:tmpl w:val="5F84D9AA"/>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227D71"/>
    <w:multiLevelType w:val="hybridMultilevel"/>
    <w:tmpl w:val="50CC07A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76634571">
    <w:abstractNumId w:val="22"/>
  </w:num>
  <w:num w:numId="2" w16cid:durableId="1523666159">
    <w:abstractNumId w:val="34"/>
  </w:num>
  <w:num w:numId="3" w16cid:durableId="1865754299">
    <w:abstractNumId w:val="40"/>
  </w:num>
  <w:num w:numId="4" w16cid:durableId="818304963">
    <w:abstractNumId w:val="24"/>
  </w:num>
  <w:num w:numId="5" w16cid:durableId="909541012">
    <w:abstractNumId w:val="13"/>
  </w:num>
  <w:num w:numId="6" w16cid:durableId="1327440480">
    <w:abstractNumId w:val="20"/>
  </w:num>
  <w:num w:numId="7" w16cid:durableId="1965695332">
    <w:abstractNumId w:val="27"/>
  </w:num>
  <w:num w:numId="8" w16cid:durableId="1631742190">
    <w:abstractNumId w:val="25"/>
  </w:num>
  <w:num w:numId="9" w16cid:durableId="507452013">
    <w:abstractNumId w:val="21"/>
  </w:num>
  <w:num w:numId="10" w16cid:durableId="1380588834">
    <w:abstractNumId w:val="9"/>
  </w:num>
  <w:num w:numId="11" w16cid:durableId="905796348">
    <w:abstractNumId w:val="35"/>
  </w:num>
  <w:num w:numId="12" w16cid:durableId="561402115">
    <w:abstractNumId w:val="29"/>
  </w:num>
  <w:num w:numId="13" w16cid:durableId="2137408609">
    <w:abstractNumId w:val="30"/>
  </w:num>
  <w:num w:numId="14" w16cid:durableId="1825924056">
    <w:abstractNumId w:val="28"/>
  </w:num>
  <w:num w:numId="15" w16cid:durableId="1575043430">
    <w:abstractNumId w:val="31"/>
  </w:num>
  <w:num w:numId="16" w16cid:durableId="260797494">
    <w:abstractNumId w:val="32"/>
  </w:num>
  <w:num w:numId="17" w16cid:durableId="1416823773">
    <w:abstractNumId w:val="33"/>
  </w:num>
  <w:num w:numId="18" w16cid:durableId="870455365">
    <w:abstractNumId w:val="7"/>
  </w:num>
  <w:num w:numId="19" w16cid:durableId="352223203">
    <w:abstractNumId w:val="6"/>
  </w:num>
  <w:num w:numId="20" w16cid:durableId="859202725">
    <w:abstractNumId w:val="5"/>
  </w:num>
  <w:num w:numId="21" w16cid:durableId="767504800">
    <w:abstractNumId w:val="4"/>
  </w:num>
  <w:num w:numId="22" w16cid:durableId="1270619908">
    <w:abstractNumId w:val="3"/>
  </w:num>
  <w:num w:numId="23" w16cid:durableId="1497067334">
    <w:abstractNumId w:val="15"/>
  </w:num>
  <w:num w:numId="24" w16cid:durableId="756941337">
    <w:abstractNumId w:val="11"/>
  </w:num>
  <w:num w:numId="25" w16cid:durableId="1145244037">
    <w:abstractNumId w:val="12"/>
  </w:num>
  <w:num w:numId="26" w16cid:durableId="1266232381">
    <w:abstractNumId w:val="37"/>
  </w:num>
  <w:num w:numId="27" w16cid:durableId="379787300">
    <w:abstractNumId w:val="39"/>
  </w:num>
  <w:num w:numId="28" w16cid:durableId="424151893">
    <w:abstractNumId w:val="41"/>
  </w:num>
  <w:num w:numId="29" w16cid:durableId="107509980">
    <w:abstractNumId w:val="38"/>
  </w:num>
  <w:num w:numId="30" w16cid:durableId="223221979">
    <w:abstractNumId w:val="18"/>
  </w:num>
  <w:num w:numId="31" w16cid:durableId="817040694">
    <w:abstractNumId w:val="19"/>
  </w:num>
  <w:num w:numId="32" w16cid:durableId="2021736403">
    <w:abstractNumId w:val="2"/>
  </w:num>
  <w:num w:numId="33" w16cid:durableId="54161657">
    <w:abstractNumId w:val="17"/>
  </w:num>
  <w:num w:numId="34" w16cid:durableId="1320842305">
    <w:abstractNumId w:val="8"/>
  </w:num>
  <w:num w:numId="35" w16cid:durableId="892735987">
    <w:abstractNumId w:val="26"/>
  </w:num>
  <w:num w:numId="36" w16cid:durableId="1241594791">
    <w:abstractNumId w:val="0"/>
  </w:num>
  <w:num w:numId="37" w16cid:durableId="1587030162">
    <w:abstractNumId w:val="14"/>
  </w:num>
  <w:num w:numId="38" w16cid:durableId="1033654114">
    <w:abstractNumId w:val="16"/>
  </w:num>
  <w:num w:numId="39" w16cid:durableId="379211608">
    <w:abstractNumId w:val="36"/>
  </w:num>
  <w:num w:numId="40" w16cid:durableId="456141267">
    <w:abstractNumId w:val="23"/>
  </w:num>
  <w:num w:numId="41" w16cid:durableId="731199883">
    <w:abstractNumId w:val="1"/>
  </w:num>
  <w:num w:numId="42" w16cid:durableId="12725127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22C51"/>
    <w:rsid w:val="00032A0C"/>
    <w:rsid w:val="00054253"/>
    <w:rsid w:val="000A7188"/>
    <w:rsid w:val="000B50CC"/>
    <w:rsid w:val="000C66D4"/>
    <w:rsid w:val="000C6A2D"/>
    <w:rsid w:val="0015409B"/>
    <w:rsid w:val="001B429B"/>
    <w:rsid w:val="001C7B1C"/>
    <w:rsid w:val="001E33AA"/>
    <w:rsid w:val="00205D0C"/>
    <w:rsid w:val="00217E03"/>
    <w:rsid w:val="00243397"/>
    <w:rsid w:val="0027096C"/>
    <w:rsid w:val="002766CF"/>
    <w:rsid w:val="0028515F"/>
    <w:rsid w:val="002A5D13"/>
    <w:rsid w:val="002B029B"/>
    <w:rsid w:val="002B074A"/>
    <w:rsid w:val="002B4419"/>
    <w:rsid w:val="002D45E4"/>
    <w:rsid w:val="002E4378"/>
    <w:rsid w:val="002F41D3"/>
    <w:rsid w:val="003676E3"/>
    <w:rsid w:val="00380EF0"/>
    <w:rsid w:val="003E3400"/>
    <w:rsid w:val="004304B3"/>
    <w:rsid w:val="00433F51"/>
    <w:rsid w:val="004639C0"/>
    <w:rsid w:val="004955F6"/>
    <w:rsid w:val="004A47F9"/>
    <w:rsid w:val="004C2396"/>
    <w:rsid w:val="00501C72"/>
    <w:rsid w:val="0050689E"/>
    <w:rsid w:val="00536E92"/>
    <w:rsid w:val="00551B88"/>
    <w:rsid w:val="00581B4B"/>
    <w:rsid w:val="00587D31"/>
    <w:rsid w:val="005D14F4"/>
    <w:rsid w:val="005E6B95"/>
    <w:rsid w:val="00614D0A"/>
    <w:rsid w:val="00644CE3"/>
    <w:rsid w:val="00653E72"/>
    <w:rsid w:val="00661981"/>
    <w:rsid w:val="00667B17"/>
    <w:rsid w:val="006910F2"/>
    <w:rsid w:val="006A5614"/>
    <w:rsid w:val="006A5CFE"/>
    <w:rsid w:val="006E18EF"/>
    <w:rsid w:val="00767817"/>
    <w:rsid w:val="007A7CA7"/>
    <w:rsid w:val="007B0290"/>
    <w:rsid w:val="007B1333"/>
    <w:rsid w:val="007C0AE5"/>
    <w:rsid w:val="007D2F6C"/>
    <w:rsid w:val="007D34A4"/>
    <w:rsid w:val="007E1A2E"/>
    <w:rsid w:val="00820334"/>
    <w:rsid w:val="00841FA8"/>
    <w:rsid w:val="008522CE"/>
    <w:rsid w:val="00852BFB"/>
    <w:rsid w:val="008633AC"/>
    <w:rsid w:val="00887070"/>
    <w:rsid w:val="008B1F83"/>
    <w:rsid w:val="008C0D29"/>
    <w:rsid w:val="008C3500"/>
    <w:rsid w:val="008D4072"/>
    <w:rsid w:val="008E62B1"/>
    <w:rsid w:val="009000A8"/>
    <w:rsid w:val="009352A5"/>
    <w:rsid w:val="00937B0B"/>
    <w:rsid w:val="009433D9"/>
    <w:rsid w:val="00983536"/>
    <w:rsid w:val="00985C2F"/>
    <w:rsid w:val="009A6365"/>
    <w:rsid w:val="009B721F"/>
    <w:rsid w:val="009E6591"/>
    <w:rsid w:val="009F64ED"/>
    <w:rsid w:val="00A06C64"/>
    <w:rsid w:val="00A42A0D"/>
    <w:rsid w:val="00AD39D1"/>
    <w:rsid w:val="00AF17D9"/>
    <w:rsid w:val="00B01FFE"/>
    <w:rsid w:val="00B16885"/>
    <w:rsid w:val="00B67280"/>
    <w:rsid w:val="00B707AF"/>
    <w:rsid w:val="00B81586"/>
    <w:rsid w:val="00B87D52"/>
    <w:rsid w:val="00BD71E9"/>
    <w:rsid w:val="00C310AF"/>
    <w:rsid w:val="00C42D52"/>
    <w:rsid w:val="00C73E1A"/>
    <w:rsid w:val="00C91E68"/>
    <w:rsid w:val="00C9289F"/>
    <w:rsid w:val="00CC38C8"/>
    <w:rsid w:val="00CD4F0B"/>
    <w:rsid w:val="00D32BB3"/>
    <w:rsid w:val="00D56265"/>
    <w:rsid w:val="00D6029A"/>
    <w:rsid w:val="00D96EA7"/>
    <w:rsid w:val="00D97E25"/>
    <w:rsid w:val="00DA1ADE"/>
    <w:rsid w:val="00DB32C7"/>
    <w:rsid w:val="00DD233A"/>
    <w:rsid w:val="00E028D9"/>
    <w:rsid w:val="00E15E95"/>
    <w:rsid w:val="00E2265E"/>
    <w:rsid w:val="00E74AD6"/>
    <w:rsid w:val="00EA323A"/>
    <w:rsid w:val="00ED7053"/>
    <w:rsid w:val="00F20663"/>
    <w:rsid w:val="00F57C10"/>
    <w:rsid w:val="00FA19D7"/>
    <w:rsid w:val="00FC27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13F16"/>
  <w15:chartTrackingRefBased/>
  <w15:docId w15:val="{850EB6E3-59BF-49E5-9A77-9B93423A1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Pa3">
    <w:name w:val="Pa3"/>
    <w:basedOn w:val="Standard"/>
    <w:next w:val="Standard"/>
    <w:uiPriority w:val="99"/>
    <w:rsid w:val="009F64ED"/>
    <w:pPr>
      <w:autoSpaceDE w:val="0"/>
      <w:autoSpaceDN w:val="0"/>
      <w:adjustRightInd w:val="0"/>
      <w:spacing w:after="0" w:line="201" w:lineRule="atLeast"/>
    </w:pPr>
    <w:rPr>
      <w:rFonts w:ascii="Agfa Rotis Semisans" w:hAnsi="Agfa Rotis Semisans"/>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2446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Ina Hold</cp:lastModifiedBy>
  <cp:revision>2</cp:revision>
  <cp:lastPrinted>2013-12-09T12:30:00Z</cp:lastPrinted>
  <dcterms:created xsi:type="dcterms:W3CDTF">2026-04-20T16:41:00Z</dcterms:created>
  <dcterms:modified xsi:type="dcterms:W3CDTF">2026-04-20T16:41:00Z</dcterms:modified>
</cp:coreProperties>
</file>