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1BBE4905" w14:textId="298552AC" w:rsidR="005B3063" w:rsidRDefault="007A7CA7" w:rsidP="005B3063">
      <w:pPr>
        <w:tabs>
          <w:tab w:val="left" w:pos="1365"/>
          <w:tab w:val="left" w:pos="2430"/>
          <w:tab w:val="left" w:pos="4185"/>
          <w:tab w:val="left" w:pos="6900"/>
        </w:tabs>
        <w:rPr>
          <w:rFonts w:ascii="Arial" w:hAnsi="Arial" w:cs="Arial"/>
          <w:bCs/>
          <w:color w:val="000000" w:themeColor="text1"/>
          <w:sz w:val="24"/>
          <w:szCs w:val="24"/>
        </w:rPr>
      </w:pPr>
      <w:r>
        <w:tab/>
      </w:r>
      <w:r w:rsidR="005E1850">
        <w:tab/>
      </w:r>
      <w:r>
        <w:tab/>
      </w:r>
      <w:r w:rsidR="00B707AF">
        <w:tab/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976"/>
        <w:gridCol w:w="4820"/>
      </w:tblGrid>
      <w:tr w:rsidR="005B3063" w:rsidRPr="005B3063" w14:paraId="3CD6A306" w14:textId="77777777" w:rsidTr="005B3063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1052" w:type="dxa"/>
            <w:gridSpan w:val="3"/>
            <w:shd w:val="clear" w:color="auto" w:fill="193965"/>
          </w:tcPr>
          <w:p w14:paraId="3295EDF5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5B3063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Mögliche Hinweise auf einen Harnwegsinfekt </w:t>
            </w:r>
          </w:p>
        </w:tc>
      </w:tr>
      <w:tr w:rsidR="005B3063" w:rsidRPr="005B3063" w14:paraId="35BE5177" w14:textId="77777777" w:rsidTr="005B3063">
        <w:tblPrEx>
          <w:tblCellMar>
            <w:top w:w="0" w:type="dxa"/>
            <w:bottom w:w="0" w:type="dxa"/>
          </w:tblCellMar>
        </w:tblPrEx>
        <w:trPr>
          <w:trHeight w:val="133"/>
          <w:jc w:val="center"/>
        </w:trPr>
        <w:tc>
          <w:tcPr>
            <w:tcW w:w="3256" w:type="dxa"/>
            <w:shd w:val="clear" w:color="auto" w:fill="C7E3AB"/>
          </w:tcPr>
          <w:p w14:paraId="113900EA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/>
                <w:bCs/>
                <w:color w:val="000000" w:themeColor="text1"/>
              </w:rPr>
              <w:t xml:space="preserve">Pflegerische Beobachtung </w:t>
            </w:r>
          </w:p>
        </w:tc>
        <w:tc>
          <w:tcPr>
            <w:tcW w:w="2976" w:type="dxa"/>
            <w:shd w:val="clear" w:color="auto" w:fill="C7E3AB"/>
          </w:tcPr>
          <w:p w14:paraId="52E4BB6B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/>
                <w:bCs/>
                <w:color w:val="000000" w:themeColor="text1"/>
              </w:rPr>
              <w:t xml:space="preserve">Mögliche Bedeutung </w:t>
            </w:r>
          </w:p>
        </w:tc>
        <w:tc>
          <w:tcPr>
            <w:tcW w:w="4820" w:type="dxa"/>
            <w:shd w:val="clear" w:color="auto" w:fill="C7E3AB"/>
          </w:tcPr>
          <w:p w14:paraId="2BF6CA5E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/>
                <w:bCs/>
                <w:color w:val="000000" w:themeColor="text1"/>
              </w:rPr>
              <w:t xml:space="preserve">Wie Sie richtig handeln </w:t>
            </w:r>
          </w:p>
        </w:tc>
      </w:tr>
      <w:tr w:rsidR="005B3063" w:rsidRPr="005B3063" w14:paraId="73EC3FB2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6148097C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Brennen oder Schmerzen beim Wasserlassen </w:t>
            </w:r>
          </w:p>
        </w:tc>
        <w:tc>
          <w:tcPr>
            <w:tcW w:w="2976" w:type="dxa"/>
          </w:tcPr>
          <w:p w14:paraId="23A0D049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klassisches Symptom eines Harnwegsinfekts </w:t>
            </w:r>
          </w:p>
        </w:tc>
        <w:tc>
          <w:tcPr>
            <w:tcW w:w="4820" w:type="dxa"/>
          </w:tcPr>
          <w:p w14:paraId="5B6C25AA" w14:textId="213C52FD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gezielt nach Schmerzen fragen </w:t>
            </w:r>
          </w:p>
          <w:p w14:paraId="64E658DF" w14:textId="186682A6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Beobachtungen dokumentieren </w:t>
            </w:r>
          </w:p>
        </w:tc>
      </w:tr>
      <w:tr w:rsidR="005B3063" w:rsidRPr="005B3063" w14:paraId="3E6C1C5E" w14:textId="77777777" w:rsidTr="005B3063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3256" w:type="dxa"/>
          </w:tcPr>
          <w:p w14:paraId="495483F4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Häufiger Harndrang bei zugleich kleinen Urinmengen </w:t>
            </w:r>
          </w:p>
        </w:tc>
        <w:tc>
          <w:tcPr>
            <w:tcW w:w="2976" w:type="dxa"/>
          </w:tcPr>
          <w:p w14:paraId="4A56FDE2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mögliche Reizung der Blase </w:t>
            </w:r>
          </w:p>
        </w:tc>
        <w:tc>
          <w:tcPr>
            <w:tcW w:w="4820" w:type="dxa"/>
          </w:tcPr>
          <w:p w14:paraId="44CDAAB2" w14:textId="2FAED43A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Ausscheidung beobachten </w:t>
            </w:r>
          </w:p>
          <w:p w14:paraId="09AC9F68" w14:textId="61107834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mit dem bisher gewohnten Verhalten vergleichen </w:t>
            </w:r>
          </w:p>
        </w:tc>
      </w:tr>
      <w:tr w:rsidR="005B3063" w:rsidRPr="005B3063" w14:paraId="6312FBB7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548915D8" w14:textId="7C167F1B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>Unterbauchschmerzen oder Druckgefüh</w:t>
            </w:r>
            <w:r w:rsidRPr="005B3063">
              <w:rPr>
                <w:rFonts w:ascii="Arial" w:hAnsi="Arial" w:cs="Arial"/>
                <w:bCs/>
                <w:color w:val="000000" w:themeColor="text1"/>
              </w:rPr>
              <w:t>l</w:t>
            </w:r>
          </w:p>
        </w:tc>
        <w:tc>
          <w:tcPr>
            <w:tcW w:w="2976" w:type="dxa"/>
          </w:tcPr>
          <w:p w14:paraId="2A17D530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Hinweis auf Infektion der Harnblase </w:t>
            </w:r>
          </w:p>
        </w:tc>
        <w:tc>
          <w:tcPr>
            <w:tcW w:w="4820" w:type="dxa"/>
          </w:tcPr>
          <w:p w14:paraId="6521F724" w14:textId="6CD671F1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Schmerzäußerungen ernst nehmen, zeitnah im Team thematisieren und Arzt informieren </w:t>
            </w:r>
          </w:p>
        </w:tc>
      </w:tr>
      <w:tr w:rsidR="005B3063" w:rsidRPr="005B3063" w14:paraId="3CCD9826" w14:textId="77777777" w:rsidTr="005B3063">
        <w:tblPrEx>
          <w:tblCellMar>
            <w:top w:w="0" w:type="dxa"/>
            <w:bottom w:w="0" w:type="dxa"/>
          </w:tblCellMar>
        </w:tblPrEx>
        <w:trPr>
          <w:trHeight w:val="440"/>
          <w:jc w:val="center"/>
        </w:trPr>
        <w:tc>
          <w:tcPr>
            <w:tcW w:w="3256" w:type="dxa"/>
          </w:tcPr>
          <w:p w14:paraId="6A4F7AF0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Fieber oder erhöhte Temperatur </w:t>
            </w:r>
          </w:p>
        </w:tc>
        <w:tc>
          <w:tcPr>
            <w:tcW w:w="2976" w:type="dxa"/>
          </w:tcPr>
          <w:p w14:paraId="062C32C4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mögliche Infektionsanzeichen </w:t>
            </w:r>
          </w:p>
        </w:tc>
        <w:tc>
          <w:tcPr>
            <w:tcW w:w="4820" w:type="dxa"/>
          </w:tcPr>
          <w:p w14:paraId="7F541568" w14:textId="79DE20B6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Temperatur kontrollieren </w:t>
            </w:r>
          </w:p>
          <w:p w14:paraId="57C62D51" w14:textId="5999D130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Verlauf dokumentieren </w:t>
            </w:r>
          </w:p>
          <w:p w14:paraId="779C2893" w14:textId="7CFB0E01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spätestens ab 38,5 °C Temperatur Arzt informieren </w:t>
            </w:r>
          </w:p>
        </w:tc>
      </w:tr>
      <w:tr w:rsidR="005B3063" w:rsidRPr="005B3063" w14:paraId="57BED2E5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3652B050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Schüttelfrost </w:t>
            </w:r>
          </w:p>
        </w:tc>
        <w:tc>
          <w:tcPr>
            <w:tcW w:w="2976" w:type="dxa"/>
          </w:tcPr>
          <w:p w14:paraId="1D42C3FB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mögliches Zeichen einer stärker ausgeprägten Infektion </w:t>
            </w:r>
          </w:p>
        </w:tc>
        <w:tc>
          <w:tcPr>
            <w:tcW w:w="4820" w:type="dxa"/>
          </w:tcPr>
          <w:p w14:paraId="57A45E34" w14:textId="465527F6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ärztliche Abklärung veranlassen </w:t>
            </w:r>
          </w:p>
        </w:tc>
      </w:tr>
      <w:tr w:rsidR="005B3063" w:rsidRPr="005B3063" w14:paraId="6F6FFF3B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4EAD8B82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Flankenschmerzen im Bereich der Nieren </w:t>
            </w:r>
          </w:p>
        </w:tc>
        <w:tc>
          <w:tcPr>
            <w:tcW w:w="2976" w:type="dxa"/>
          </w:tcPr>
          <w:p w14:paraId="72CDDEC7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Hinweis auf ansteigende Infektion </w:t>
            </w:r>
          </w:p>
        </w:tc>
        <w:tc>
          <w:tcPr>
            <w:tcW w:w="4820" w:type="dxa"/>
          </w:tcPr>
          <w:p w14:paraId="4F8654CC" w14:textId="4BEADBE9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Rücksprache mit Arzt halten, Abklärungsbedarf </w:t>
            </w:r>
          </w:p>
        </w:tc>
      </w:tr>
      <w:tr w:rsidR="005B3063" w:rsidRPr="005B3063" w14:paraId="4EF52B77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369F7491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neu auftretende bzw. verstärkte Inkontinenz </w:t>
            </w:r>
          </w:p>
        </w:tc>
        <w:tc>
          <w:tcPr>
            <w:tcW w:w="2976" w:type="dxa"/>
          </w:tcPr>
          <w:p w14:paraId="1E47BB84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proofErr w:type="gramStart"/>
            <w:r w:rsidRPr="005B3063">
              <w:rPr>
                <w:rFonts w:ascii="Arial" w:hAnsi="Arial" w:cs="Arial"/>
                <w:bCs/>
                <w:color w:val="000000" w:themeColor="text1"/>
              </w:rPr>
              <w:t>kann</w:t>
            </w:r>
            <w:proofErr w:type="gramEnd"/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 mit Blasenreizung auftreten </w:t>
            </w:r>
          </w:p>
        </w:tc>
        <w:tc>
          <w:tcPr>
            <w:tcW w:w="4820" w:type="dxa"/>
          </w:tcPr>
          <w:p w14:paraId="08DA6C25" w14:textId="0C0367CB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Verlauf beobachten </w:t>
            </w:r>
          </w:p>
          <w:p w14:paraId="6FC0B538" w14:textId="79B18AAB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andere Ursachen mit berücksichtigen </w:t>
            </w:r>
          </w:p>
        </w:tc>
      </w:tr>
      <w:tr w:rsidR="005B3063" w:rsidRPr="005B3063" w14:paraId="2E3544EF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2E915377" w14:textId="47188392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>plötzliche Schwäche/</w:t>
            </w: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5B3063">
              <w:rPr>
                <w:rFonts w:ascii="Arial" w:hAnsi="Arial" w:cs="Arial"/>
                <w:bCs/>
                <w:color w:val="000000" w:themeColor="text1"/>
              </w:rPr>
              <w:t>abrupter Leistungsabfal</w:t>
            </w:r>
            <w:r w:rsidRPr="005B3063">
              <w:rPr>
                <w:rFonts w:ascii="Arial" w:hAnsi="Arial" w:cs="Arial"/>
                <w:bCs/>
                <w:color w:val="000000" w:themeColor="text1"/>
              </w:rPr>
              <w:t>l</w:t>
            </w:r>
          </w:p>
        </w:tc>
        <w:tc>
          <w:tcPr>
            <w:tcW w:w="2976" w:type="dxa"/>
          </w:tcPr>
          <w:p w14:paraId="183BD0E7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unspezifisch, aber häufiges Begleitsymptom bei älteren Pflegekunden </w:t>
            </w:r>
          </w:p>
        </w:tc>
        <w:tc>
          <w:tcPr>
            <w:tcW w:w="4820" w:type="dxa"/>
          </w:tcPr>
          <w:p w14:paraId="73DADBF5" w14:textId="4873A3F9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im Zusammenhang mit anderen Beobachtungen bewerten </w:t>
            </w:r>
          </w:p>
        </w:tc>
      </w:tr>
      <w:tr w:rsidR="005B3063" w:rsidRPr="005B3063" w14:paraId="1206B69D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4CA25346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neu aufgetretene Unruhe, Verwirrtheit oder Desorientierung </w:t>
            </w:r>
          </w:p>
        </w:tc>
        <w:tc>
          <w:tcPr>
            <w:tcW w:w="2976" w:type="dxa"/>
          </w:tcPr>
          <w:p w14:paraId="0A618517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unspezifisch, aber mögliches Begleitsymptom </w:t>
            </w:r>
          </w:p>
        </w:tc>
        <w:tc>
          <w:tcPr>
            <w:tcW w:w="4820" w:type="dxa"/>
          </w:tcPr>
          <w:p w14:paraId="2FBA1D67" w14:textId="53AF5937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>nicht vorschnel</w:t>
            </w: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 </w:t>
            </w: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als Harnwegsinfekt abtun, Gesamtbild prüfen </w:t>
            </w:r>
          </w:p>
        </w:tc>
      </w:tr>
      <w:tr w:rsidR="005B3063" w:rsidRPr="005B3063" w14:paraId="70C98A31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26984F5F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reduzierte Trinkmenge </w:t>
            </w:r>
          </w:p>
        </w:tc>
        <w:tc>
          <w:tcPr>
            <w:tcW w:w="2976" w:type="dxa"/>
          </w:tcPr>
          <w:p w14:paraId="3C29BB0A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erhöht Risiko für Harnwegsinfekte </w:t>
            </w:r>
          </w:p>
        </w:tc>
        <w:tc>
          <w:tcPr>
            <w:tcW w:w="4820" w:type="dxa"/>
          </w:tcPr>
          <w:p w14:paraId="21E8156C" w14:textId="065E5937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Trinkmenge beobachten und dokumentieren </w:t>
            </w:r>
          </w:p>
          <w:p w14:paraId="64B437B2" w14:textId="6C9158BC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Trinkanreize schaffen </w:t>
            </w:r>
          </w:p>
        </w:tc>
      </w:tr>
      <w:tr w:rsidR="005B3063" w:rsidRPr="005B3063" w14:paraId="52B38EB3" w14:textId="77777777" w:rsidTr="005B3063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3256" w:type="dxa"/>
          </w:tcPr>
          <w:p w14:paraId="7EC77488" w14:textId="2550B290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trüber oder </w:t>
            </w:r>
            <w:proofErr w:type="gramStart"/>
            <w:r w:rsidRPr="005B3063">
              <w:rPr>
                <w:rFonts w:ascii="Arial" w:hAnsi="Arial" w:cs="Arial"/>
                <w:bCs/>
                <w:color w:val="000000" w:themeColor="text1"/>
              </w:rPr>
              <w:t>übe</w:t>
            </w: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l </w:t>
            </w:r>
            <w:r w:rsidRPr="005B3063">
              <w:rPr>
                <w:rFonts w:ascii="Arial" w:hAnsi="Arial" w:cs="Arial"/>
                <w:bCs/>
                <w:color w:val="000000" w:themeColor="text1"/>
              </w:rPr>
              <w:t>riechender</w:t>
            </w:r>
            <w:proofErr w:type="gramEnd"/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 Urin </w:t>
            </w:r>
          </w:p>
        </w:tc>
        <w:tc>
          <w:tcPr>
            <w:tcW w:w="2976" w:type="dxa"/>
          </w:tcPr>
          <w:p w14:paraId="44CE73A0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für sich genommen kein Beweis für einen Infekt, aber häufig damit im Zusammenhang stehend </w:t>
            </w:r>
          </w:p>
        </w:tc>
        <w:tc>
          <w:tcPr>
            <w:tcW w:w="4820" w:type="dxa"/>
          </w:tcPr>
          <w:p w14:paraId="4CE6F0E0" w14:textId="4A512D35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keine isolierte Bewertung vornehmen </w:t>
            </w:r>
          </w:p>
        </w:tc>
      </w:tr>
      <w:tr w:rsidR="005B3063" w:rsidRPr="005B3063" w14:paraId="02D813C3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4D765440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Nachweis von Bakterien im Urin (ohne Beschwerden) </w:t>
            </w:r>
          </w:p>
        </w:tc>
        <w:tc>
          <w:tcPr>
            <w:tcW w:w="2976" w:type="dxa"/>
          </w:tcPr>
          <w:p w14:paraId="4F8AF251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asymptomatische Bakteriurie </w:t>
            </w:r>
          </w:p>
        </w:tc>
        <w:tc>
          <w:tcPr>
            <w:tcW w:w="4820" w:type="dxa"/>
          </w:tcPr>
          <w:p w14:paraId="3FDCA8FA" w14:textId="2740351A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im Alter häufig </w:t>
            </w:r>
          </w:p>
          <w:p w14:paraId="5A8386D2" w14:textId="65420108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nicht automatisch behandlungsbedürftig </w:t>
            </w:r>
          </w:p>
        </w:tc>
      </w:tr>
      <w:tr w:rsidR="005B3063" w:rsidRPr="005B3063" w14:paraId="3BEBB230" w14:textId="77777777" w:rsidTr="005B3063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3256" w:type="dxa"/>
          </w:tcPr>
          <w:p w14:paraId="367AE1C7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Vorhandener Dauerkatheter </w:t>
            </w:r>
          </w:p>
        </w:tc>
        <w:tc>
          <w:tcPr>
            <w:tcW w:w="2976" w:type="dxa"/>
          </w:tcPr>
          <w:p w14:paraId="23346324" w14:textId="77777777" w:rsidR="005B3063" w:rsidRPr="005B3063" w:rsidRDefault="005B3063" w:rsidP="005B3063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5B3063">
              <w:rPr>
                <w:rFonts w:ascii="Arial" w:hAnsi="Arial" w:cs="Arial"/>
                <w:bCs/>
                <w:color w:val="000000" w:themeColor="text1"/>
              </w:rPr>
              <w:t xml:space="preserve">erhöhtes Risiko für bakterielle Besiedelung </w:t>
            </w:r>
          </w:p>
        </w:tc>
        <w:tc>
          <w:tcPr>
            <w:tcW w:w="4820" w:type="dxa"/>
          </w:tcPr>
          <w:p w14:paraId="6DF3C579" w14:textId="302E80E6" w:rsidR="005B3063" w:rsidRPr="005B3063" w:rsidRDefault="005B3063" w:rsidP="005B3063">
            <w:pPr>
              <w:pStyle w:val="Listenabsatz"/>
              <w:numPr>
                <w:ilvl w:val="0"/>
                <w:numId w:val="31"/>
              </w:numPr>
              <w:spacing w:before="120" w:after="120" w:line="276" w:lineRule="auto"/>
              <w:ind w:left="269" w:hanging="26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B3063">
              <w:rPr>
                <w:rFonts w:ascii="Arial" w:hAnsi="Arial" w:cs="Arial"/>
                <w:color w:val="000000" w:themeColor="text1"/>
                <w:sz w:val="22"/>
                <w:szCs w:val="22"/>
              </w:rPr>
              <w:t>aufmerksame Beobachtung der Symptome</w:t>
            </w:r>
          </w:p>
        </w:tc>
      </w:tr>
    </w:tbl>
    <w:p w14:paraId="2BBD6B60" w14:textId="77777777" w:rsidR="005B3063" w:rsidRPr="00745ADF" w:rsidRDefault="005B3063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5B3063" w:rsidRPr="00745ADF" w:rsidSect="005B3063">
      <w:headerReference w:type="default" r:id="rId9"/>
      <w:pgSz w:w="11906" w:h="16838" w:code="9"/>
      <w:pgMar w:top="-709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DC15" w14:textId="77777777" w:rsidR="00B00D86" w:rsidRDefault="00B00D86" w:rsidP="002A5D13">
      <w:pPr>
        <w:spacing w:after="0" w:line="240" w:lineRule="auto"/>
      </w:pPr>
      <w:r>
        <w:separator/>
      </w:r>
    </w:p>
  </w:endnote>
  <w:endnote w:type="continuationSeparator" w:id="0">
    <w:p w14:paraId="1B45D84C" w14:textId="77777777" w:rsidR="00B00D86" w:rsidRDefault="00B00D8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B969" w14:textId="77777777" w:rsidR="00B00D86" w:rsidRDefault="00B00D86" w:rsidP="002A5D13">
      <w:pPr>
        <w:spacing w:after="0" w:line="240" w:lineRule="auto"/>
      </w:pPr>
      <w:r>
        <w:separator/>
      </w:r>
    </w:p>
  </w:footnote>
  <w:footnote w:type="continuationSeparator" w:id="0">
    <w:p w14:paraId="68E48EAF" w14:textId="77777777" w:rsidR="00B00D86" w:rsidRDefault="00B00D8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1182CE35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</w:t>
          </w:r>
          <w:r w:rsidR="00A3385B">
            <w:rPr>
              <w:b/>
              <w:color w:val="FFFFFF"/>
              <w:sz w:val="24"/>
            </w:rPr>
            <w:t>0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A3385B">
            <w:rPr>
              <w:b/>
              <w:color w:val="FFFFFF"/>
              <w:sz w:val="24"/>
            </w:rPr>
            <w:t>-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7E48"/>
    <w:multiLevelType w:val="hybridMultilevel"/>
    <w:tmpl w:val="BB1E0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E20AE"/>
    <w:multiLevelType w:val="hybridMultilevel"/>
    <w:tmpl w:val="B90213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21305"/>
    <w:multiLevelType w:val="hybridMultilevel"/>
    <w:tmpl w:val="AEA2EF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5"/>
  </w:num>
  <w:num w:numId="2" w16cid:durableId="110518625">
    <w:abstractNumId w:val="27"/>
  </w:num>
  <w:num w:numId="3" w16cid:durableId="1023476870">
    <w:abstractNumId w:val="30"/>
  </w:num>
  <w:num w:numId="4" w16cid:durableId="1632981953">
    <w:abstractNumId w:val="18"/>
  </w:num>
  <w:num w:numId="5" w16cid:durableId="334385539">
    <w:abstractNumId w:val="8"/>
  </w:num>
  <w:num w:numId="6" w16cid:durableId="292560944">
    <w:abstractNumId w:val="12"/>
  </w:num>
  <w:num w:numId="7" w16cid:durableId="617414864">
    <w:abstractNumId w:val="20"/>
  </w:num>
  <w:num w:numId="8" w16cid:durableId="1349798627">
    <w:abstractNumId w:val="19"/>
  </w:num>
  <w:num w:numId="9" w16cid:durableId="425809380">
    <w:abstractNumId w:val="14"/>
  </w:num>
  <w:num w:numId="10" w16cid:durableId="2045593739">
    <w:abstractNumId w:val="5"/>
  </w:num>
  <w:num w:numId="11" w16cid:durableId="2030179877">
    <w:abstractNumId w:val="28"/>
  </w:num>
  <w:num w:numId="12" w16cid:durableId="808983353">
    <w:abstractNumId w:val="22"/>
  </w:num>
  <w:num w:numId="13" w16cid:durableId="1540699642">
    <w:abstractNumId w:val="23"/>
  </w:num>
  <w:num w:numId="14" w16cid:durableId="1014500060">
    <w:abstractNumId w:val="21"/>
  </w:num>
  <w:num w:numId="15" w16cid:durableId="473067152">
    <w:abstractNumId w:val="24"/>
  </w:num>
  <w:num w:numId="16" w16cid:durableId="516389024">
    <w:abstractNumId w:val="25"/>
  </w:num>
  <w:num w:numId="17" w16cid:durableId="1666322767">
    <w:abstractNumId w:val="26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9"/>
  </w:num>
  <w:num w:numId="24" w16cid:durableId="770469715">
    <w:abstractNumId w:val="7"/>
  </w:num>
  <w:num w:numId="25" w16cid:durableId="88425914">
    <w:abstractNumId w:val="9"/>
  </w:num>
  <w:num w:numId="26" w16cid:durableId="542838272">
    <w:abstractNumId w:val="16"/>
  </w:num>
  <w:num w:numId="27" w16cid:durableId="35784044">
    <w:abstractNumId w:val="11"/>
  </w:num>
  <w:num w:numId="28" w16cid:durableId="2043822415">
    <w:abstractNumId w:val="10"/>
  </w:num>
  <w:num w:numId="29" w16cid:durableId="931741336">
    <w:abstractNumId w:val="6"/>
  </w:num>
  <w:num w:numId="30" w16cid:durableId="1200239606">
    <w:abstractNumId w:val="13"/>
  </w:num>
  <w:num w:numId="31" w16cid:durableId="12932482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689E"/>
    <w:rsid w:val="00547B8D"/>
    <w:rsid w:val="00551B88"/>
    <w:rsid w:val="0057329F"/>
    <w:rsid w:val="00587D31"/>
    <w:rsid w:val="005B3063"/>
    <w:rsid w:val="005E1850"/>
    <w:rsid w:val="005F5BCC"/>
    <w:rsid w:val="00614D0A"/>
    <w:rsid w:val="00653E72"/>
    <w:rsid w:val="00661981"/>
    <w:rsid w:val="00672109"/>
    <w:rsid w:val="006A5CFE"/>
    <w:rsid w:val="006E18EF"/>
    <w:rsid w:val="00745ADF"/>
    <w:rsid w:val="00750CB5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4E0A"/>
    <w:rsid w:val="008E62B1"/>
    <w:rsid w:val="008F5C4C"/>
    <w:rsid w:val="00937B0B"/>
    <w:rsid w:val="009433D9"/>
    <w:rsid w:val="00983536"/>
    <w:rsid w:val="009A1730"/>
    <w:rsid w:val="009B721F"/>
    <w:rsid w:val="009C06A2"/>
    <w:rsid w:val="009D2836"/>
    <w:rsid w:val="00A06C64"/>
    <w:rsid w:val="00A3385B"/>
    <w:rsid w:val="00A444B1"/>
    <w:rsid w:val="00A45808"/>
    <w:rsid w:val="00A56A28"/>
    <w:rsid w:val="00A95E4C"/>
    <w:rsid w:val="00AC136E"/>
    <w:rsid w:val="00AC3015"/>
    <w:rsid w:val="00AE4D06"/>
    <w:rsid w:val="00AE7949"/>
    <w:rsid w:val="00B00D86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CD564A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EF3291"/>
    <w:rsid w:val="00F101CE"/>
    <w:rsid w:val="00F12F5E"/>
    <w:rsid w:val="00F20663"/>
    <w:rsid w:val="00F64056"/>
    <w:rsid w:val="00FA19D7"/>
    <w:rsid w:val="00FB3A5A"/>
    <w:rsid w:val="00FC278E"/>
    <w:rsid w:val="00FC78D7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2026-04-28T11:20:00Z</dcterms:created>
  <dcterms:modified xsi:type="dcterms:W3CDTF">2026-04-28T11:20:00Z</dcterms:modified>
</cp:coreProperties>
</file>