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001D4BB1" w14:textId="77777777" w:rsidR="009A7437" w:rsidRDefault="009A7437" w:rsidP="00581B4B"/>
    <w:tbl>
      <w:tblPr>
        <w:tblW w:w="11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1418"/>
        <w:gridCol w:w="9784"/>
      </w:tblGrid>
      <w:tr w:rsidR="009A7437" w:rsidRPr="009A7437" w14:paraId="38E6D75C" w14:textId="77777777" w:rsidTr="009A7437">
        <w:trPr>
          <w:trHeight w:val="323"/>
          <w:jc w:val="center"/>
        </w:trPr>
        <w:tc>
          <w:tcPr>
            <w:tcW w:w="11202" w:type="dxa"/>
            <w:gridSpan w:val="2"/>
            <w:shd w:val="clear" w:color="auto" w:fill="0091BA"/>
          </w:tcPr>
          <w:p w14:paraId="71D5FA0E" w14:textId="1CE61B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A7437">
              <w:rPr>
                <w:rFonts w:ascii="Arial" w:hAnsi="Arial" w:cs="Arial"/>
                <w:b/>
                <w:color w:val="FFFFFF"/>
                <w:sz w:val="28"/>
                <w:szCs w:val="28"/>
              </w:rPr>
              <w:t>Schnellübersicht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:</w:t>
            </w:r>
            <w:r w:rsidRPr="009A7437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 w:rsidRPr="009A7437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ICD-10-Codes für die neue Versorgungspauschale (GOP 03100) </w:t>
            </w:r>
          </w:p>
        </w:tc>
      </w:tr>
      <w:tr w:rsidR="009A7437" w:rsidRPr="009A7437" w14:paraId="417AB800" w14:textId="77777777" w:rsidTr="009A7437">
        <w:trPr>
          <w:jc w:val="center"/>
        </w:trPr>
        <w:tc>
          <w:tcPr>
            <w:tcW w:w="1418" w:type="dxa"/>
            <w:shd w:val="clear" w:color="auto" w:fill="C9C3A3"/>
          </w:tcPr>
          <w:p w14:paraId="0AE0AA09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A7437">
              <w:rPr>
                <w:rFonts w:ascii="Arial" w:hAnsi="Arial" w:cs="Arial"/>
                <w:b/>
                <w:sz w:val="24"/>
                <w:szCs w:val="24"/>
              </w:rPr>
              <w:t>ICD-10-Code</w:t>
            </w:r>
          </w:p>
        </w:tc>
        <w:tc>
          <w:tcPr>
            <w:tcW w:w="9784" w:type="dxa"/>
            <w:shd w:val="clear" w:color="auto" w:fill="C9C3A3"/>
          </w:tcPr>
          <w:p w14:paraId="67E7C4ED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A7437">
              <w:rPr>
                <w:rFonts w:ascii="Arial" w:hAnsi="Arial" w:cs="Arial"/>
                <w:b/>
                <w:sz w:val="24"/>
                <w:szCs w:val="24"/>
              </w:rPr>
              <w:t>Diagnose</w:t>
            </w:r>
          </w:p>
        </w:tc>
      </w:tr>
      <w:tr w:rsidR="009A7437" w:rsidRPr="009A7437" w14:paraId="73D4BC4A" w14:textId="77777777" w:rsidTr="009A7437">
        <w:trPr>
          <w:trHeight w:val="283"/>
          <w:jc w:val="center"/>
        </w:trPr>
        <w:tc>
          <w:tcPr>
            <w:tcW w:w="1418" w:type="dxa"/>
          </w:tcPr>
          <w:p w14:paraId="1BF1B42A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E03.0</w:t>
            </w:r>
          </w:p>
        </w:tc>
        <w:tc>
          <w:tcPr>
            <w:tcW w:w="9784" w:type="dxa"/>
          </w:tcPr>
          <w:p w14:paraId="229972C5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Angeborene Hypothyreose mit diffuser Struma</w:t>
            </w:r>
          </w:p>
        </w:tc>
      </w:tr>
      <w:tr w:rsidR="009A7437" w:rsidRPr="009A7437" w14:paraId="763E7704" w14:textId="77777777" w:rsidTr="009A7437">
        <w:trPr>
          <w:trHeight w:val="260"/>
          <w:jc w:val="center"/>
        </w:trPr>
        <w:tc>
          <w:tcPr>
            <w:tcW w:w="1418" w:type="dxa"/>
          </w:tcPr>
          <w:p w14:paraId="43486316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E03.1</w:t>
            </w:r>
          </w:p>
        </w:tc>
        <w:tc>
          <w:tcPr>
            <w:tcW w:w="9784" w:type="dxa"/>
          </w:tcPr>
          <w:p w14:paraId="4B0E14BD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Angeborene Hypothyreose ohne Struma</w:t>
            </w:r>
          </w:p>
        </w:tc>
      </w:tr>
      <w:tr w:rsidR="009A7437" w:rsidRPr="009A7437" w14:paraId="45BB8F9D" w14:textId="77777777" w:rsidTr="009A7437">
        <w:trPr>
          <w:trHeight w:val="113"/>
          <w:jc w:val="center"/>
        </w:trPr>
        <w:tc>
          <w:tcPr>
            <w:tcW w:w="1418" w:type="dxa"/>
          </w:tcPr>
          <w:p w14:paraId="5568C4EB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E03.4</w:t>
            </w:r>
          </w:p>
        </w:tc>
        <w:tc>
          <w:tcPr>
            <w:tcW w:w="9784" w:type="dxa"/>
          </w:tcPr>
          <w:p w14:paraId="2F575DF0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Atrophie der Schilddrüse (erworben)</w:t>
            </w:r>
          </w:p>
        </w:tc>
      </w:tr>
      <w:tr w:rsidR="009A7437" w:rsidRPr="009A7437" w14:paraId="4082298D" w14:textId="77777777" w:rsidTr="009A7437">
        <w:trPr>
          <w:trHeight w:val="229"/>
          <w:jc w:val="center"/>
        </w:trPr>
        <w:tc>
          <w:tcPr>
            <w:tcW w:w="1418" w:type="dxa"/>
          </w:tcPr>
          <w:p w14:paraId="47814231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E03.8</w:t>
            </w:r>
          </w:p>
        </w:tc>
        <w:tc>
          <w:tcPr>
            <w:tcW w:w="9784" w:type="dxa"/>
          </w:tcPr>
          <w:p w14:paraId="44D52891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Sonstige näher bezeichnete Hypothyreose</w:t>
            </w:r>
          </w:p>
        </w:tc>
      </w:tr>
      <w:tr w:rsidR="009A7437" w:rsidRPr="009A7437" w14:paraId="2DA96D76" w14:textId="77777777" w:rsidTr="009A7437">
        <w:trPr>
          <w:trHeight w:val="191"/>
          <w:jc w:val="center"/>
        </w:trPr>
        <w:tc>
          <w:tcPr>
            <w:tcW w:w="1418" w:type="dxa"/>
          </w:tcPr>
          <w:p w14:paraId="5C80EF1F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E03.9</w:t>
            </w:r>
          </w:p>
        </w:tc>
        <w:tc>
          <w:tcPr>
            <w:tcW w:w="9784" w:type="dxa"/>
          </w:tcPr>
          <w:p w14:paraId="59625D7D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Hypothyreose, nicht näher bezeichnet</w:t>
            </w:r>
          </w:p>
        </w:tc>
      </w:tr>
      <w:tr w:rsidR="009A7437" w:rsidRPr="009A7437" w14:paraId="5861AC03" w14:textId="77777777" w:rsidTr="009A7437">
        <w:trPr>
          <w:trHeight w:val="195"/>
          <w:jc w:val="center"/>
        </w:trPr>
        <w:tc>
          <w:tcPr>
            <w:tcW w:w="1418" w:type="dxa"/>
          </w:tcPr>
          <w:p w14:paraId="57D914AB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E06.3</w:t>
            </w:r>
          </w:p>
        </w:tc>
        <w:tc>
          <w:tcPr>
            <w:tcW w:w="9784" w:type="dxa"/>
          </w:tcPr>
          <w:p w14:paraId="3DFAC4EE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Autoimmunthyreoiditis</w:t>
            </w:r>
          </w:p>
        </w:tc>
      </w:tr>
      <w:tr w:rsidR="009A7437" w:rsidRPr="009A7437" w14:paraId="4EA59BDA" w14:textId="77777777" w:rsidTr="009A7437">
        <w:trPr>
          <w:trHeight w:val="283"/>
          <w:jc w:val="center"/>
        </w:trPr>
        <w:tc>
          <w:tcPr>
            <w:tcW w:w="1418" w:type="dxa"/>
          </w:tcPr>
          <w:p w14:paraId="3610C8DB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E78.0</w:t>
            </w:r>
          </w:p>
        </w:tc>
        <w:tc>
          <w:tcPr>
            <w:tcW w:w="9784" w:type="dxa"/>
          </w:tcPr>
          <w:p w14:paraId="3CF64443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 xml:space="preserve">Reine Hypercholesterinämie </w:t>
            </w:r>
          </w:p>
        </w:tc>
      </w:tr>
      <w:tr w:rsidR="009A7437" w:rsidRPr="009A7437" w14:paraId="75D27E6E" w14:textId="77777777" w:rsidTr="009A7437">
        <w:trPr>
          <w:trHeight w:val="279"/>
          <w:jc w:val="center"/>
        </w:trPr>
        <w:tc>
          <w:tcPr>
            <w:tcW w:w="1418" w:type="dxa"/>
          </w:tcPr>
          <w:p w14:paraId="4258C80C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E78.2</w:t>
            </w:r>
          </w:p>
        </w:tc>
        <w:tc>
          <w:tcPr>
            <w:tcW w:w="9784" w:type="dxa"/>
          </w:tcPr>
          <w:p w14:paraId="62FF43A2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Gemischte Hyperlipidämie</w:t>
            </w:r>
          </w:p>
        </w:tc>
      </w:tr>
      <w:tr w:rsidR="009A7437" w:rsidRPr="009A7437" w14:paraId="2C830C4F" w14:textId="77777777" w:rsidTr="009A7437">
        <w:trPr>
          <w:trHeight w:val="213"/>
          <w:jc w:val="center"/>
        </w:trPr>
        <w:tc>
          <w:tcPr>
            <w:tcW w:w="1418" w:type="dxa"/>
          </w:tcPr>
          <w:p w14:paraId="27494756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E78.4</w:t>
            </w:r>
          </w:p>
        </w:tc>
        <w:tc>
          <w:tcPr>
            <w:tcW w:w="9784" w:type="dxa"/>
          </w:tcPr>
          <w:p w14:paraId="41426E02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Sonstige Hyperlipidämien</w:t>
            </w:r>
          </w:p>
        </w:tc>
      </w:tr>
      <w:tr w:rsidR="009A7437" w:rsidRPr="009A7437" w14:paraId="2EE1166F" w14:textId="77777777" w:rsidTr="009A7437">
        <w:trPr>
          <w:trHeight w:val="301"/>
          <w:jc w:val="center"/>
        </w:trPr>
        <w:tc>
          <w:tcPr>
            <w:tcW w:w="1418" w:type="dxa"/>
          </w:tcPr>
          <w:p w14:paraId="3A7BF469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E78.5</w:t>
            </w:r>
          </w:p>
        </w:tc>
        <w:tc>
          <w:tcPr>
            <w:tcW w:w="9784" w:type="dxa"/>
          </w:tcPr>
          <w:p w14:paraId="405C4573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Hyperlipidämie, nicht näher bezeichnet</w:t>
            </w:r>
          </w:p>
        </w:tc>
      </w:tr>
      <w:tr w:rsidR="009A7437" w:rsidRPr="009A7437" w14:paraId="1A94C0E4" w14:textId="77777777" w:rsidTr="009A7437">
        <w:trPr>
          <w:trHeight w:val="301"/>
          <w:jc w:val="center"/>
        </w:trPr>
        <w:tc>
          <w:tcPr>
            <w:tcW w:w="1418" w:type="dxa"/>
          </w:tcPr>
          <w:p w14:paraId="0C266902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E78.6</w:t>
            </w:r>
          </w:p>
        </w:tc>
        <w:tc>
          <w:tcPr>
            <w:tcW w:w="9784" w:type="dxa"/>
          </w:tcPr>
          <w:p w14:paraId="38972C8C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Lipoproteinmangel</w:t>
            </w:r>
          </w:p>
        </w:tc>
      </w:tr>
      <w:tr w:rsidR="009A7437" w:rsidRPr="009A7437" w14:paraId="4DC40C50" w14:textId="77777777" w:rsidTr="009A7437">
        <w:trPr>
          <w:trHeight w:val="301"/>
          <w:jc w:val="center"/>
        </w:trPr>
        <w:tc>
          <w:tcPr>
            <w:tcW w:w="1418" w:type="dxa"/>
          </w:tcPr>
          <w:p w14:paraId="57B8AFFC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E78.8</w:t>
            </w:r>
          </w:p>
        </w:tc>
        <w:tc>
          <w:tcPr>
            <w:tcW w:w="9784" w:type="dxa"/>
          </w:tcPr>
          <w:p w14:paraId="6344497C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Sonstige Störungen des Lipoproteinstoffwechsels</w:t>
            </w:r>
          </w:p>
        </w:tc>
      </w:tr>
      <w:tr w:rsidR="009A7437" w:rsidRPr="009A7437" w14:paraId="4CD17936" w14:textId="77777777" w:rsidTr="009A7437">
        <w:trPr>
          <w:trHeight w:val="301"/>
          <w:jc w:val="center"/>
        </w:trPr>
        <w:tc>
          <w:tcPr>
            <w:tcW w:w="1418" w:type="dxa"/>
          </w:tcPr>
          <w:p w14:paraId="751932F9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E78.9</w:t>
            </w:r>
          </w:p>
        </w:tc>
        <w:tc>
          <w:tcPr>
            <w:tcW w:w="9784" w:type="dxa"/>
          </w:tcPr>
          <w:p w14:paraId="62C57975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Störung des Lipoproteinstoffwechsels, nicht näher bezeichnet</w:t>
            </w:r>
          </w:p>
        </w:tc>
      </w:tr>
      <w:tr w:rsidR="009A7437" w:rsidRPr="009A7437" w14:paraId="52C64BF8" w14:textId="77777777" w:rsidTr="009A7437">
        <w:trPr>
          <w:trHeight w:val="301"/>
          <w:jc w:val="center"/>
        </w:trPr>
        <w:tc>
          <w:tcPr>
            <w:tcW w:w="1418" w:type="dxa"/>
          </w:tcPr>
          <w:p w14:paraId="1B23E230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I10.0</w:t>
            </w:r>
          </w:p>
        </w:tc>
        <w:tc>
          <w:tcPr>
            <w:tcW w:w="9784" w:type="dxa"/>
          </w:tcPr>
          <w:p w14:paraId="4AA90F8C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 xml:space="preserve">Benigne essenzielle Hypertonie (ausgenommen: ICD-10-GM I10.01) </w:t>
            </w:r>
          </w:p>
        </w:tc>
      </w:tr>
      <w:tr w:rsidR="009A7437" w:rsidRPr="009A7437" w14:paraId="149755A8" w14:textId="77777777" w:rsidTr="009A7437">
        <w:trPr>
          <w:trHeight w:val="301"/>
          <w:jc w:val="center"/>
        </w:trPr>
        <w:tc>
          <w:tcPr>
            <w:tcW w:w="1418" w:type="dxa"/>
          </w:tcPr>
          <w:p w14:paraId="1C5D4855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I10.00</w:t>
            </w:r>
          </w:p>
        </w:tc>
        <w:tc>
          <w:tcPr>
            <w:tcW w:w="9784" w:type="dxa"/>
          </w:tcPr>
          <w:p w14:paraId="41AC932F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Benigne essenzielle Hypertonie: ohne Angabe einer hypertensiven Krise</w:t>
            </w:r>
          </w:p>
        </w:tc>
      </w:tr>
      <w:tr w:rsidR="009A7437" w:rsidRPr="009A7437" w14:paraId="270F4188" w14:textId="77777777" w:rsidTr="009A7437">
        <w:trPr>
          <w:trHeight w:val="301"/>
          <w:jc w:val="center"/>
        </w:trPr>
        <w:tc>
          <w:tcPr>
            <w:tcW w:w="1418" w:type="dxa"/>
          </w:tcPr>
          <w:p w14:paraId="0CBDD0DF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I10.9</w:t>
            </w:r>
          </w:p>
        </w:tc>
        <w:tc>
          <w:tcPr>
            <w:tcW w:w="9784" w:type="dxa"/>
          </w:tcPr>
          <w:p w14:paraId="6902AF62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Essenzielle Hypertonie, nicht näher bezeichnet (ausgenommen: ICD-10-GM I10.91)</w:t>
            </w:r>
          </w:p>
        </w:tc>
      </w:tr>
      <w:tr w:rsidR="009A7437" w:rsidRPr="009A7437" w14:paraId="0563262E" w14:textId="77777777" w:rsidTr="009A7437">
        <w:trPr>
          <w:trHeight w:val="301"/>
          <w:jc w:val="center"/>
        </w:trPr>
        <w:tc>
          <w:tcPr>
            <w:tcW w:w="1418" w:type="dxa"/>
          </w:tcPr>
          <w:p w14:paraId="0F51CCB6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I10.90</w:t>
            </w:r>
          </w:p>
        </w:tc>
        <w:tc>
          <w:tcPr>
            <w:tcW w:w="9784" w:type="dxa"/>
          </w:tcPr>
          <w:p w14:paraId="50270E79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Essenzielle Hypertonie, nicht näher bezeichnet: ohne Angabe einer hypertensiven Krise</w:t>
            </w:r>
          </w:p>
        </w:tc>
      </w:tr>
      <w:tr w:rsidR="009A7437" w:rsidRPr="009A7437" w14:paraId="133D2BBD" w14:textId="77777777" w:rsidTr="009A7437">
        <w:trPr>
          <w:trHeight w:val="301"/>
          <w:jc w:val="center"/>
        </w:trPr>
        <w:tc>
          <w:tcPr>
            <w:tcW w:w="1418" w:type="dxa"/>
          </w:tcPr>
          <w:p w14:paraId="47BC6D9B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M10.0</w:t>
            </w:r>
          </w:p>
        </w:tc>
        <w:tc>
          <w:tcPr>
            <w:tcW w:w="9784" w:type="dxa"/>
          </w:tcPr>
          <w:p w14:paraId="22C5A44F" w14:textId="77777777" w:rsidR="009A7437" w:rsidRPr="009A7437" w:rsidRDefault="009A7437" w:rsidP="009A743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A7437">
              <w:rPr>
                <w:rFonts w:ascii="Arial" w:hAnsi="Arial" w:cs="Arial"/>
                <w:bCs/>
                <w:sz w:val="24"/>
                <w:szCs w:val="24"/>
              </w:rPr>
              <w:t>Idiopathische Gicht</w:t>
            </w:r>
          </w:p>
        </w:tc>
      </w:tr>
    </w:tbl>
    <w:p w14:paraId="74A17A19" w14:textId="77777777" w:rsidR="009A7437" w:rsidRPr="009A7437" w:rsidRDefault="009A7437" w:rsidP="009A7437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9A7437" w:rsidRPr="009A7437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AC55" w14:textId="77777777" w:rsidR="007970EA" w:rsidRDefault="007970EA" w:rsidP="002A5D13">
      <w:pPr>
        <w:spacing w:after="0" w:line="240" w:lineRule="auto"/>
      </w:pPr>
      <w:r>
        <w:separator/>
      </w:r>
    </w:p>
  </w:endnote>
  <w:endnote w:type="continuationSeparator" w:id="0">
    <w:p w14:paraId="51FF391F" w14:textId="77777777" w:rsidR="007970EA" w:rsidRDefault="007970EA" w:rsidP="002A5D13">
      <w:pPr>
        <w:spacing w:after="0" w:line="240" w:lineRule="auto"/>
      </w:pPr>
      <w:r>
        <w:continuationSeparator/>
      </w:r>
    </w:p>
  </w:endnote>
  <w:endnote w:type="continuationNotice" w:id="1">
    <w:p w14:paraId="5D93A891" w14:textId="77777777" w:rsidR="007970EA" w:rsidRDefault="007970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6A683" w14:textId="77777777" w:rsidR="007970EA" w:rsidRDefault="007970EA" w:rsidP="002A5D13">
      <w:pPr>
        <w:spacing w:after="0" w:line="240" w:lineRule="auto"/>
      </w:pPr>
      <w:r>
        <w:separator/>
      </w:r>
    </w:p>
  </w:footnote>
  <w:footnote w:type="continuationSeparator" w:id="0">
    <w:p w14:paraId="2F6858D7" w14:textId="77777777" w:rsidR="007970EA" w:rsidRDefault="007970EA" w:rsidP="002A5D13">
      <w:pPr>
        <w:spacing w:after="0" w:line="240" w:lineRule="auto"/>
      </w:pPr>
      <w:r>
        <w:continuationSeparator/>
      </w:r>
    </w:p>
  </w:footnote>
  <w:footnote w:type="continuationNotice" w:id="1">
    <w:p w14:paraId="15D01105" w14:textId="77777777" w:rsidR="007970EA" w:rsidRDefault="007970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64D09A27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9A7437">
            <w:rPr>
              <w:b/>
              <w:sz w:val="24"/>
            </w:rPr>
            <w:t>5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7970EA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970EA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A7437"/>
    <w:rsid w:val="009B721F"/>
    <w:rsid w:val="009E4F8C"/>
    <w:rsid w:val="009E6591"/>
    <w:rsid w:val="00A06C64"/>
    <w:rsid w:val="00A438A7"/>
    <w:rsid w:val="00A95E4C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9A7437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9A7437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9A7437"/>
    <w:pPr>
      <w:spacing w:after="0" w:line="240" w:lineRule="auto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2026-04-26T21:30:00Z</dcterms:created>
  <dcterms:modified xsi:type="dcterms:W3CDTF">2026-04-26T21:30:00Z</dcterms:modified>
</cp:coreProperties>
</file>