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3C9CDC9C" w14:textId="77777777" w:rsidR="00111918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p w14:paraId="07514AF3" w14:textId="24684EF4" w:rsidR="009503FB" w:rsidRDefault="00B707AF" w:rsidP="001A0DCD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tbl>
      <w:tblPr>
        <w:tblW w:w="10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4"/>
        <w:gridCol w:w="3119"/>
      </w:tblGrid>
      <w:tr w:rsidR="001C43FF" w:rsidRPr="00016794" w14:paraId="6712BC93" w14:textId="77777777" w:rsidTr="001A0DCD">
        <w:trPr>
          <w:jc w:val="center"/>
        </w:trPr>
        <w:tc>
          <w:tcPr>
            <w:tcW w:w="10633" w:type="dxa"/>
            <w:gridSpan w:val="2"/>
            <w:shd w:val="clear" w:color="auto" w:fill="0098BB"/>
          </w:tcPr>
          <w:p w14:paraId="264CB043" w14:textId="69641064" w:rsidR="001C43FF" w:rsidRPr="009E4F8C" w:rsidRDefault="001A0DCD" w:rsidP="00CD5CC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1A0DC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 der </w:t>
            </w:r>
            <w:proofErr w:type="spellStart"/>
            <w:r w:rsidRPr="001A0DCD">
              <w:rPr>
                <w:rFonts w:ascii="Arial" w:hAnsi="Arial" w:cs="Arial"/>
                <w:b/>
                <w:color w:val="FFFFFF"/>
                <w:sz w:val="28"/>
                <w:szCs w:val="28"/>
              </w:rPr>
              <w:t>Selbstzahlerleistungen</w:t>
            </w:r>
            <w:proofErr w:type="spellEnd"/>
          </w:p>
        </w:tc>
      </w:tr>
      <w:tr w:rsidR="001A0DCD" w:rsidRPr="002A176D" w14:paraId="7A6CB015" w14:textId="77777777" w:rsidTr="001A0DCD">
        <w:trPr>
          <w:jc w:val="center"/>
        </w:trPr>
        <w:tc>
          <w:tcPr>
            <w:tcW w:w="7514" w:type="dxa"/>
            <w:shd w:val="clear" w:color="auto" w:fill="C9C3A3"/>
          </w:tcPr>
          <w:p w14:paraId="47824B4B" w14:textId="4CAA6F78" w:rsidR="001A0DCD" w:rsidRPr="001A0DCD" w:rsidRDefault="001A0DCD" w:rsidP="001A0DC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A0DCD">
              <w:rPr>
                <w:rFonts w:ascii="Arial" w:hAnsi="Arial" w:cs="Arial"/>
                <w:b/>
                <w:sz w:val="24"/>
                <w:szCs w:val="24"/>
              </w:rPr>
              <w:t>Auszug der bewerteten IGeL-Leistungen</w:t>
            </w:r>
          </w:p>
        </w:tc>
        <w:tc>
          <w:tcPr>
            <w:tcW w:w="3119" w:type="dxa"/>
            <w:shd w:val="clear" w:color="auto" w:fill="C9C3A3"/>
          </w:tcPr>
          <w:p w14:paraId="0A52A0A1" w14:textId="6098F1A6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/>
                <w:sz w:val="24"/>
                <w:szCs w:val="24"/>
              </w:rPr>
              <w:t xml:space="preserve">Bewertung </w:t>
            </w:r>
            <w:proofErr w:type="spellStart"/>
            <w:r w:rsidRPr="001A0DCD">
              <w:rPr>
                <w:rFonts w:ascii="Arial" w:hAnsi="Arial" w:cs="Arial"/>
                <w:b/>
                <w:sz w:val="24"/>
                <w:szCs w:val="24"/>
              </w:rPr>
              <w:t>IGeL</w:t>
            </w:r>
            <w:proofErr w:type="spellEnd"/>
            <w:r w:rsidRPr="001A0DCD">
              <w:rPr>
                <w:rFonts w:ascii="Arial" w:hAnsi="Arial" w:cs="Arial"/>
                <w:b/>
                <w:sz w:val="24"/>
                <w:szCs w:val="24"/>
              </w:rPr>
              <w:t>-Monitor (</w:t>
            </w:r>
            <w:hyperlink r:id="rId7" w:history="1">
              <w:r w:rsidRPr="001A0DCD">
                <w:rPr>
                  <w:rFonts w:ascii="Arial" w:hAnsi="Arial" w:cs="Arial"/>
                  <w:b/>
                  <w:sz w:val="24"/>
                  <w:szCs w:val="24"/>
                </w:rPr>
                <w:t>www.Igel-monitor.de</w:t>
              </w:r>
            </w:hyperlink>
            <w:r w:rsidRPr="001A0DCD">
              <w:rPr>
                <w:rFonts w:ascii="Arial" w:hAnsi="Arial" w:cs="Arial"/>
                <w:b/>
                <w:sz w:val="24"/>
                <w:szCs w:val="24"/>
              </w:rPr>
              <w:t xml:space="preserve">) </w:t>
            </w:r>
          </w:p>
        </w:tc>
      </w:tr>
      <w:tr w:rsidR="001A0DCD" w:rsidRPr="001A0DCD" w14:paraId="1240BF68" w14:textId="77777777" w:rsidTr="001A0DCD">
        <w:trPr>
          <w:jc w:val="center"/>
        </w:trPr>
        <w:tc>
          <w:tcPr>
            <w:tcW w:w="7514" w:type="dxa"/>
          </w:tcPr>
          <w:p w14:paraId="4B09A8EE" w14:textId="7676BCBC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Akupunktur in der Schwangerschaft</w:t>
            </w:r>
          </w:p>
        </w:tc>
        <w:tc>
          <w:tcPr>
            <w:tcW w:w="3119" w:type="dxa"/>
          </w:tcPr>
          <w:p w14:paraId="4CA287CE" w14:textId="443371FB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19BFC6A6" w14:textId="77777777" w:rsidTr="001A0DCD">
        <w:trPr>
          <w:jc w:val="center"/>
        </w:trPr>
        <w:tc>
          <w:tcPr>
            <w:tcW w:w="7514" w:type="dxa"/>
          </w:tcPr>
          <w:p w14:paraId="13E35476" w14:textId="6D347F4E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Akupunktur zur Migräneprophylaxe</w:t>
            </w:r>
          </w:p>
        </w:tc>
        <w:tc>
          <w:tcPr>
            <w:tcW w:w="3119" w:type="dxa"/>
          </w:tcPr>
          <w:p w14:paraId="132BFE19" w14:textId="1204CB99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„tendenziell positiv“</w:t>
            </w:r>
          </w:p>
        </w:tc>
      </w:tr>
      <w:tr w:rsidR="001A0DCD" w:rsidRPr="001A0DCD" w14:paraId="7542470C" w14:textId="77777777" w:rsidTr="001A0DCD">
        <w:trPr>
          <w:jc w:val="center"/>
        </w:trPr>
        <w:tc>
          <w:tcPr>
            <w:tcW w:w="7514" w:type="dxa"/>
          </w:tcPr>
          <w:p w14:paraId="58F461B1" w14:textId="0AAC8342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 xml:space="preserve">Akupunktur zur Spannungskopfschmerz-Prophylaxe </w:t>
            </w:r>
          </w:p>
        </w:tc>
        <w:tc>
          <w:tcPr>
            <w:tcW w:w="3119" w:type="dxa"/>
          </w:tcPr>
          <w:p w14:paraId="3254AB74" w14:textId="17344409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24AB6B87" w14:textId="77777777" w:rsidTr="001A0DCD">
        <w:trPr>
          <w:jc w:val="center"/>
        </w:trPr>
        <w:tc>
          <w:tcPr>
            <w:tcW w:w="7514" w:type="dxa"/>
          </w:tcPr>
          <w:p w14:paraId="7DF2FE42" w14:textId="5F48DE00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Biofeedback-Therapie bei Migräne</w:t>
            </w:r>
          </w:p>
        </w:tc>
        <w:tc>
          <w:tcPr>
            <w:tcW w:w="3119" w:type="dxa"/>
          </w:tcPr>
          <w:p w14:paraId="6E1131AB" w14:textId="09799C8A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28D94C37" w14:textId="77777777" w:rsidTr="001A0DCD">
        <w:trPr>
          <w:jc w:val="center"/>
        </w:trPr>
        <w:tc>
          <w:tcPr>
            <w:tcW w:w="7514" w:type="dxa"/>
          </w:tcPr>
          <w:p w14:paraId="52CDB075" w14:textId="334DAF66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Botox gegen Schwitzen</w:t>
            </w:r>
          </w:p>
        </w:tc>
        <w:tc>
          <w:tcPr>
            <w:tcW w:w="3119" w:type="dxa"/>
          </w:tcPr>
          <w:p w14:paraId="37F7648D" w14:textId="464EB897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36D5EEA4" w14:textId="77777777" w:rsidTr="001A0DCD">
        <w:trPr>
          <w:jc w:val="center"/>
        </w:trPr>
        <w:tc>
          <w:tcPr>
            <w:tcW w:w="7514" w:type="dxa"/>
          </w:tcPr>
          <w:p w14:paraId="524BF85F" w14:textId="4830E12B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Dünnschichtzytologie zur Früherkennung von Gebärmutterhalskrebs</w:t>
            </w:r>
          </w:p>
        </w:tc>
        <w:tc>
          <w:tcPr>
            <w:tcW w:w="3119" w:type="dxa"/>
          </w:tcPr>
          <w:p w14:paraId="47843AF0" w14:textId="163B156D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4C1593D8" w14:textId="77777777" w:rsidTr="001A0DCD">
        <w:trPr>
          <w:jc w:val="center"/>
        </w:trPr>
        <w:tc>
          <w:tcPr>
            <w:tcW w:w="7514" w:type="dxa"/>
          </w:tcPr>
          <w:p w14:paraId="1FC4C923" w14:textId="72D5AF31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 xml:space="preserve">Eigenbluttherapie bei </w:t>
            </w:r>
            <w:proofErr w:type="spellStart"/>
            <w:r w:rsidRPr="001A0DCD">
              <w:rPr>
                <w:rFonts w:ascii="Arial" w:hAnsi="Arial" w:cs="Arial"/>
                <w:bCs/>
                <w:sz w:val="24"/>
                <w:szCs w:val="24"/>
              </w:rPr>
              <w:t>Tendinopathie</w:t>
            </w:r>
            <w:proofErr w:type="spellEnd"/>
          </w:p>
        </w:tc>
        <w:tc>
          <w:tcPr>
            <w:tcW w:w="3119" w:type="dxa"/>
          </w:tcPr>
          <w:p w14:paraId="5B64FB9D" w14:textId="0AAECFF5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„tendenziell negativ“</w:t>
            </w:r>
          </w:p>
        </w:tc>
      </w:tr>
      <w:tr w:rsidR="001A0DCD" w:rsidRPr="001A0DCD" w14:paraId="03286A3B" w14:textId="77777777" w:rsidTr="001A0DCD">
        <w:trPr>
          <w:jc w:val="center"/>
        </w:trPr>
        <w:tc>
          <w:tcPr>
            <w:tcW w:w="7514" w:type="dxa"/>
          </w:tcPr>
          <w:p w14:paraId="26F3555B" w14:textId="407FF9CE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EKG zur Früherkennung einer koronaren Herzerkrankung</w:t>
            </w:r>
          </w:p>
        </w:tc>
        <w:tc>
          <w:tcPr>
            <w:tcW w:w="3119" w:type="dxa"/>
          </w:tcPr>
          <w:p w14:paraId="601E3D74" w14:textId="089F194D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„tendenziell negativ“</w:t>
            </w:r>
          </w:p>
        </w:tc>
      </w:tr>
      <w:tr w:rsidR="001A0DCD" w:rsidRPr="001A0DCD" w14:paraId="3D1859C4" w14:textId="77777777" w:rsidTr="001A0DCD">
        <w:trPr>
          <w:jc w:val="center"/>
        </w:trPr>
        <w:tc>
          <w:tcPr>
            <w:tcW w:w="7514" w:type="dxa"/>
          </w:tcPr>
          <w:p w14:paraId="5BEB0D42" w14:textId="6A388A4B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Extrakorporale Stoßwellentherapie beim Tennisarm</w:t>
            </w:r>
          </w:p>
        </w:tc>
        <w:tc>
          <w:tcPr>
            <w:tcW w:w="3119" w:type="dxa"/>
          </w:tcPr>
          <w:p w14:paraId="63688DE4" w14:textId="161E5423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„tendenziell negativ“</w:t>
            </w:r>
          </w:p>
        </w:tc>
      </w:tr>
      <w:tr w:rsidR="001A0DCD" w:rsidRPr="001A0DCD" w14:paraId="046B4F9A" w14:textId="77777777" w:rsidTr="001A0DCD">
        <w:trPr>
          <w:jc w:val="center"/>
        </w:trPr>
        <w:tc>
          <w:tcPr>
            <w:tcW w:w="7514" w:type="dxa"/>
          </w:tcPr>
          <w:p w14:paraId="1D1CA23B" w14:textId="23D9733B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Früherkennung auf Vitamin-B-12-Mangel bzw. Vitamin-D-Mangel</w:t>
            </w:r>
          </w:p>
        </w:tc>
        <w:tc>
          <w:tcPr>
            <w:tcW w:w="3119" w:type="dxa"/>
          </w:tcPr>
          <w:p w14:paraId="6E8877DD" w14:textId="68265F52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61DBADF6" w14:textId="77777777" w:rsidTr="001A0DCD">
        <w:trPr>
          <w:jc w:val="center"/>
        </w:trPr>
        <w:tc>
          <w:tcPr>
            <w:tcW w:w="7514" w:type="dxa"/>
          </w:tcPr>
          <w:p w14:paraId="0C51F173" w14:textId="43ADB3A6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H.E.L.P.-Apherese zur Behandlung von Long-/Post-COVID</w:t>
            </w:r>
          </w:p>
        </w:tc>
        <w:tc>
          <w:tcPr>
            <w:tcW w:w="3119" w:type="dxa"/>
          </w:tcPr>
          <w:p w14:paraId="3EA883F9" w14:textId="79D1B5C0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„unklar”</w:t>
            </w:r>
          </w:p>
        </w:tc>
      </w:tr>
      <w:tr w:rsidR="001A0DCD" w:rsidRPr="001A0DCD" w14:paraId="52B040C6" w14:textId="77777777" w:rsidTr="001A0DCD">
        <w:trPr>
          <w:jc w:val="center"/>
        </w:trPr>
        <w:tc>
          <w:tcPr>
            <w:tcW w:w="7514" w:type="dxa"/>
          </w:tcPr>
          <w:p w14:paraId="0E600A52" w14:textId="4EB1DC52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HBA1x-Bestimmung zur Früherkennung eines Diabetes</w:t>
            </w:r>
          </w:p>
        </w:tc>
        <w:tc>
          <w:tcPr>
            <w:tcW w:w="3119" w:type="dxa"/>
          </w:tcPr>
          <w:p w14:paraId="1578B479" w14:textId="185E2150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2CE4C0DE" w14:textId="77777777" w:rsidTr="001A0DCD">
        <w:trPr>
          <w:jc w:val="center"/>
        </w:trPr>
        <w:tc>
          <w:tcPr>
            <w:tcW w:w="7514" w:type="dxa"/>
          </w:tcPr>
          <w:p w14:paraId="444641AC" w14:textId="5EC7D39F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Laserbehandlung von Krampfadern</w:t>
            </w:r>
          </w:p>
        </w:tc>
        <w:tc>
          <w:tcPr>
            <w:tcW w:w="3119" w:type="dxa"/>
          </w:tcPr>
          <w:p w14:paraId="56524318" w14:textId="330E65D6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4E4D7C21" w14:textId="77777777" w:rsidTr="001A0DCD">
        <w:trPr>
          <w:jc w:val="center"/>
        </w:trPr>
        <w:tc>
          <w:tcPr>
            <w:tcW w:w="7514" w:type="dxa"/>
          </w:tcPr>
          <w:p w14:paraId="710B413E" w14:textId="0D9FEEAF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Lichttherapie bei Akne</w:t>
            </w:r>
          </w:p>
        </w:tc>
        <w:tc>
          <w:tcPr>
            <w:tcW w:w="3119" w:type="dxa"/>
          </w:tcPr>
          <w:p w14:paraId="57D2D54B" w14:textId="4B946A3E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14A84B10" w14:textId="77777777" w:rsidTr="001A0DCD">
        <w:trPr>
          <w:jc w:val="center"/>
        </w:trPr>
        <w:tc>
          <w:tcPr>
            <w:tcW w:w="7514" w:type="dxa"/>
          </w:tcPr>
          <w:p w14:paraId="39CA6652" w14:textId="17545359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Lichttherapie bei saisonal depressiver Störung („Winterdepression“)</w:t>
            </w:r>
          </w:p>
        </w:tc>
        <w:tc>
          <w:tcPr>
            <w:tcW w:w="3119" w:type="dxa"/>
          </w:tcPr>
          <w:p w14:paraId="24C42ABD" w14:textId="190E2918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„tendenziell positiv“</w:t>
            </w:r>
          </w:p>
        </w:tc>
      </w:tr>
      <w:tr w:rsidR="001A0DCD" w:rsidRPr="001A0DCD" w14:paraId="15E43D48" w14:textId="77777777" w:rsidTr="001A0DCD">
        <w:trPr>
          <w:jc w:val="center"/>
        </w:trPr>
        <w:tc>
          <w:tcPr>
            <w:tcW w:w="7514" w:type="dxa"/>
          </w:tcPr>
          <w:p w14:paraId="047EA2C3" w14:textId="700FAC8C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Magnetfeldtherapie bei Kreuzschmerzen</w:t>
            </w:r>
          </w:p>
        </w:tc>
        <w:tc>
          <w:tcPr>
            <w:tcW w:w="3119" w:type="dxa"/>
          </w:tcPr>
          <w:p w14:paraId="0936C9B1" w14:textId="245B7C4F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00F011A4" w14:textId="77777777" w:rsidTr="001A0DCD">
        <w:trPr>
          <w:jc w:val="center"/>
        </w:trPr>
        <w:tc>
          <w:tcPr>
            <w:tcW w:w="7514" w:type="dxa"/>
          </w:tcPr>
          <w:p w14:paraId="384F66FF" w14:textId="14E17688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M2-PK-Stuhltest zur Darmkrebsfrüherkennung</w:t>
            </w:r>
          </w:p>
        </w:tc>
        <w:tc>
          <w:tcPr>
            <w:tcW w:w="3119" w:type="dxa"/>
          </w:tcPr>
          <w:p w14:paraId="592F26CB" w14:textId="288CEA7E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65A9DACB" w14:textId="77777777" w:rsidTr="001A0DCD">
        <w:trPr>
          <w:jc w:val="center"/>
        </w:trPr>
        <w:tc>
          <w:tcPr>
            <w:tcW w:w="7514" w:type="dxa"/>
          </w:tcPr>
          <w:p w14:paraId="34C9F18F" w14:textId="403B9542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NMP22-Test zur Früherkennung von Harnblasenkrebs</w:t>
            </w:r>
          </w:p>
        </w:tc>
        <w:tc>
          <w:tcPr>
            <w:tcW w:w="3119" w:type="dxa"/>
          </w:tcPr>
          <w:p w14:paraId="4244D4F0" w14:textId="48D9D3F3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„tendenziell negativ“</w:t>
            </w:r>
          </w:p>
        </w:tc>
      </w:tr>
      <w:tr w:rsidR="001A0DCD" w:rsidRPr="001A0DCD" w14:paraId="4FD2D30F" w14:textId="77777777" w:rsidTr="001A0DCD">
        <w:trPr>
          <w:jc w:val="center"/>
        </w:trPr>
        <w:tc>
          <w:tcPr>
            <w:tcW w:w="7514" w:type="dxa"/>
          </w:tcPr>
          <w:p w14:paraId="0C8B7049" w14:textId="65F7C442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Osteopathie bei unspezifischen Kreuzschmerzen</w:t>
            </w:r>
          </w:p>
        </w:tc>
        <w:tc>
          <w:tcPr>
            <w:tcW w:w="3119" w:type="dxa"/>
          </w:tcPr>
          <w:p w14:paraId="5C5F51D2" w14:textId="6D3101B3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4D975810" w14:textId="77777777" w:rsidTr="001A0DCD">
        <w:trPr>
          <w:jc w:val="center"/>
        </w:trPr>
        <w:tc>
          <w:tcPr>
            <w:tcW w:w="7514" w:type="dxa"/>
          </w:tcPr>
          <w:p w14:paraId="0B88676A" w14:textId="421A4524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PSA-Test zur Früherkennung von Prostatakrebs</w:t>
            </w:r>
          </w:p>
        </w:tc>
        <w:tc>
          <w:tcPr>
            <w:tcW w:w="3119" w:type="dxa"/>
          </w:tcPr>
          <w:p w14:paraId="0AF3FF57" w14:textId="04DB3C11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„tendenziell negativ“</w:t>
            </w:r>
          </w:p>
        </w:tc>
      </w:tr>
      <w:tr w:rsidR="001A0DCD" w:rsidRPr="001A0DCD" w14:paraId="75F4435A" w14:textId="77777777" w:rsidTr="001A0DCD">
        <w:trPr>
          <w:jc w:val="center"/>
        </w:trPr>
        <w:tc>
          <w:tcPr>
            <w:tcW w:w="7514" w:type="dxa"/>
          </w:tcPr>
          <w:p w14:paraId="3D975D75" w14:textId="36C8DD57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lastRenderedPageBreak/>
              <w:t>Stoßwellentherapie bei der Kalkschulter</w:t>
            </w:r>
          </w:p>
        </w:tc>
        <w:tc>
          <w:tcPr>
            <w:tcW w:w="3119" w:type="dxa"/>
          </w:tcPr>
          <w:p w14:paraId="72E929C4" w14:textId="52E02001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5AFBDA1D" w14:textId="77777777" w:rsidTr="001A0DCD">
        <w:trPr>
          <w:jc w:val="center"/>
        </w:trPr>
        <w:tc>
          <w:tcPr>
            <w:tcW w:w="7514" w:type="dxa"/>
          </w:tcPr>
          <w:p w14:paraId="6DC1283D" w14:textId="0AEB75B0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Stoßwellentherapie beim Tennisarm</w:t>
            </w:r>
          </w:p>
        </w:tc>
        <w:tc>
          <w:tcPr>
            <w:tcW w:w="3119" w:type="dxa"/>
          </w:tcPr>
          <w:p w14:paraId="2631AE63" w14:textId="060E8AAD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„tendenziell negativ“</w:t>
            </w:r>
          </w:p>
        </w:tc>
      </w:tr>
      <w:tr w:rsidR="001A0DCD" w:rsidRPr="001A0DCD" w14:paraId="223DA358" w14:textId="77777777" w:rsidTr="001A0DCD">
        <w:trPr>
          <w:jc w:val="center"/>
        </w:trPr>
        <w:tc>
          <w:tcPr>
            <w:tcW w:w="7514" w:type="dxa"/>
          </w:tcPr>
          <w:p w14:paraId="77063762" w14:textId="31B02277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Streptokokken-Test in der Schwangerschaft</w:t>
            </w:r>
          </w:p>
        </w:tc>
        <w:tc>
          <w:tcPr>
            <w:tcW w:w="3119" w:type="dxa"/>
          </w:tcPr>
          <w:p w14:paraId="4487A123" w14:textId="4D26EB3F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22688DE8" w14:textId="77777777" w:rsidTr="001A0DCD">
        <w:trPr>
          <w:jc w:val="center"/>
        </w:trPr>
        <w:tc>
          <w:tcPr>
            <w:tcW w:w="7514" w:type="dxa"/>
          </w:tcPr>
          <w:p w14:paraId="0837C841" w14:textId="2018CD88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Toxoplasmose-Test bei Schwangeren (Früherkennung)</w:t>
            </w:r>
          </w:p>
        </w:tc>
        <w:tc>
          <w:tcPr>
            <w:tcW w:w="3119" w:type="dxa"/>
          </w:tcPr>
          <w:p w14:paraId="5F0A1F88" w14:textId="7291A27C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6D1076B4" w14:textId="77777777" w:rsidTr="001A0DCD">
        <w:trPr>
          <w:jc w:val="center"/>
        </w:trPr>
        <w:tc>
          <w:tcPr>
            <w:tcW w:w="7514" w:type="dxa"/>
          </w:tcPr>
          <w:p w14:paraId="5E2098A5" w14:textId="2BA6C52A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TSH-Bestimmung zum Schilddrüsen-Check</w:t>
            </w:r>
          </w:p>
        </w:tc>
        <w:tc>
          <w:tcPr>
            <w:tcW w:w="3119" w:type="dxa"/>
          </w:tcPr>
          <w:p w14:paraId="238CD692" w14:textId="37E693C8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„tendenziell negativ“</w:t>
            </w:r>
          </w:p>
        </w:tc>
      </w:tr>
      <w:tr w:rsidR="001A0DCD" w:rsidRPr="001A0DCD" w14:paraId="22B73300" w14:textId="77777777" w:rsidTr="001A0DCD">
        <w:trPr>
          <w:jc w:val="center"/>
        </w:trPr>
        <w:tc>
          <w:tcPr>
            <w:tcW w:w="7514" w:type="dxa"/>
          </w:tcPr>
          <w:p w14:paraId="0805D53A" w14:textId="692C59F2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Ultraschall der Halsschlagader zur Schlaganfallvorsorge</w:t>
            </w:r>
          </w:p>
        </w:tc>
        <w:tc>
          <w:tcPr>
            <w:tcW w:w="3119" w:type="dxa"/>
          </w:tcPr>
          <w:p w14:paraId="62D1B91B" w14:textId="658375AC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„tendenziell negativ</w:t>
            </w:r>
          </w:p>
        </w:tc>
      </w:tr>
      <w:tr w:rsidR="001A0DCD" w:rsidRPr="001A0DCD" w14:paraId="68151F08" w14:textId="77777777" w:rsidTr="001A0DCD">
        <w:trPr>
          <w:jc w:val="center"/>
        </w:trPr>
        <w:tc>
          <w:tcPr>
            <w:tcW w:w="7514" w:type="dxa"/>
          </w:tcPr>
          <w:p w14:paraId="25187948" w14:textId="0D54531F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Ultraschall der Brust zur Krebsfrüherkennung</w:t>
            </w:r>
          </w:p>
        </w:tc>
        <w:tc>
          <w:tcPr>
            <w:tcW w:w="3119" w:type="dxa"/>
          </w:tcPr>
          <w:p w14:paraId="36F174A8" w14:textId="77057E3C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„unklar“</w:t>
            </w:r>
          </w:p>
        </w:tc>
      </w:tr>
      <w:tr w:rsidR="001A0DCD" w:rsidRPr="001A0DCD" w14:paraId="45536941" w14:textId="77777777" w:rsidTr="001A0DCD">
        <w:trPr>
          <w:jc w:val="center"/>
        </w:trPr>
        <w:tc>
          <w:tcPr>
            <w:tcW w:w="7514" w:type="dxa"/>
          </w:tcPr>
          <w:p w14:paraId="57EADDFA" w14:textId="2BF9BD5A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Ultraschall der Eierstöcke zur Krebsfrüherkennung</w:t>
            </w:r>
          </w:p>
        </w:tc>
        <w:tc>
          <w:tcPr>
            <w:tcW w:w="3119" w:type="dxa"/>
          </w:tcPr>
          <w:p w14:paraId="6852A366" w14:textId="26E1FE43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„negativ“</w:t>
            </w:r>
          </w:p>
        </w:tc>
      </w:tr>
      <w:tr w:rsidR="001A0DCD" w:rsidRPr="001A0DCD" w14:paraId="7D91B193" w14:textId="77777777" w:rsidTr="001A0DCD">
        <w:trPr>
          <w:jc w:val="center"/>
        </w:trPr>
        <w:tc>
          <w:tcPr>
            <w:tcW w:w="7514" w:type="dxa"/>
          </w:tcPr>
          <w:p w14:paraId="7A13EDD3" w14:textId="595649BD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Ultraschall zur Früherkennung von Gebärmutterkörperkrebs</w:t>
            </w:r>
          </w:p>
        </w:tc>
        <w:tc>
          <w:tcPr>
            <w:tcW w:w="3119" w:type="dxa"/>
          </w:tcPr>
          <w:p w14:paraId="6997BF45" w14:textId="5E57C2E2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„tendenziell negativ“</w:t>
            </w:r>
          </w:p>
        </w:tc>
      </w:tr>
      <w:tr w:rsidR="001A0DCD" w:rsidRPr="001A0DCD" w14:paraId="5C91EADF" w14:textId="77777777" w:rsidTr="001A0DCD">
        <w:trPr>
          <w:jc w:val="center"/>
        </w:trPr>
        <w:tc>
          <w:tcPr>
            <w:tcW w:w="7514" w:type="dxa"/>
          </w:tcPr>
          <w:p w14:paraId="7A386224" w14:textId="64EC6173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Ultraschall zur Früherkennung von Prostatakrebs</w:t>
            </w:r>
          </w:p>
        </w:tc>
        <w:tc>
          <w:tcPr>
            <w:tcW w:w="3119" w:type="dxa"/>
          </w:tcPr>
          <w:p w14:paraId="6019E5CE" w14:textId="5B635CF5" w:rsidR="001A0DCD" w:rsidRPr="001A0DCD" w:rsidRDefault="001A0DCD" w:rsidP="001A0DC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A0DCD">
              <w:rPr>
                <w:rFonts w:ascii="Arial" w:hAnsi="Arial" w:cs="Arial"/>
                <w:bCs/>
                <w:sz w:val="24"/>
                <w:szCs w:val="24"/>
              </w:rPr>
              <w:t>„tendenziell negativ“</w:t>
            </w:r>
          </w:p>
        </w:tc>
      </w:tr>
    </w:tbl>
    <w:p w14:paraId="1D946778" w14:textId="77777777" w:rsidR="001A0DCD" w:rsidRPr="001A0DCD" w:rsidRDefault="001A0DCD" w:rsidP="001A0DCD">
      <w:pPr>
        <w:spacing w:before="120" w:after="120"/>
        <w:rPr>
          <w:rFonts w:ascii="Arial" w:hAnsi="Arial" w:cs="Arial"/>
          <w:bCs/>
        </w:rPr>
      </w:pPr>
    </w:p>
    <w:sectPr w:rsidR="001A0DCD" w:rsidRPr="001A0DCD" w:rsidSect="001A0DCD">
      <w:headerReference w:type="default" r:id="rId8"/>
      <w:pgSz w:w="11906" w:h="16838" w:code="9"/>
      <w:pgMar w:top="-1135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27A44" w14:textId="77777777" w:rsidR="009456FF" w:rsidRDefault="009456FF" w:rsidP="002A5D13">
      <w:pPr>
        <w:spacing w:after="0" w:line="240" w:lineRule="auto"/>
      </w:pPr>
      <w:r>
        <w:separator/>
      </w:r>
    </w:p>
  </w:endnote>
  <w:endnote w:type="continuationSeparator" w:id="0">
    <w:p w14:paraId="4A010AED" w14:textId="77777777" w:rsidR="009456FF" w:rsidRDefault="009456FF" w:rsidP="002A5D13">
      <w:pPr>
        <w:spacing w:after="0" w:line="240" w:lineRule="auto"/>
      </w:pPr>
      <w:r>
        <w:continuationSeparator/>
      </w:r>
    </w:p>
  </w:endnote>
  <w:endnote w:type="continuationNotice" w:id="1">
    <w:p w14:paraId="7E9B2DAB" w14:textId="77777777" w:rsidR="009456FF" w:rsidRDefault="009456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16F91" w14:textId="77777777" w:rsidR="009456FF" w:rsidRDefault="009456FF" w:rsidP="002A5D13">
      <w:pPr>
        <w:spacing w:after="0" w:line="240" w:lineRule="auto"/>
      </w:pPr>
      <w:r>
        <w:separator/>
      </w:r>
    </w:p>
  </w:footnote>
  <w:footnote w:type="continuationSeparator" w:id="0">
    <w:p w14:paraId="1B2C4779" w14:textId="77777777" w:rsidR="009456FF" w:rsidRDefault="009456FF" w:rsidP="002A5D13">
      <w:pPr>
        <w:spacing w:after="0" w:line="240" w:lineRule="auto"/>
      </w:pPr>
      <w:r>
        <w:continuationSeparator/>
      </w:r>
    </w:p>
  </w:footnote>
  <w:footnote w:type="continuationNotice" w:id="1">
    <w:p w14:paraId="0A22FCB9" w14:textId="77777777" w:rsidR="009456FF" w:rsidRDefault="009456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516AEF6A" w14:textId="77777777" w:rsidR="00D434EB" w:rsidRDefault="00D434EB" w:rsidP="00B75F0F">
          <w:pPr>
            <w:pStyle w:val="Kopfzeile"/>
            <w:jc w:val="center"/>
            <w:rPr>
              <w:b/>
              <w:sz w:val="24"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3A7D11">
            <w:rPr>
              <w:b/>
              <w:sz w:val="24"/>
            </w:rPr>
            <w:t>6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  <w:p w14:paraId="01995683" w14:textId="67290E88" w:rsidR="001A0DCD" w:rsidRPr="006111CC" w:rsidRDefault="001A0DCD" w:rsidP="00B75F0F">
          <w:pPr>
            <w:pStyle w:val="Kopfzeile"/>
            <w:jc w:val="center"/>
            <w:rPr>
              <w:b/>
            </w:rPr>
          </w:pPr>
          <w:r>
            <w:rPr>
              <w:b/>
              <w:sz w:val="24"/>
            </w:rPr>
            <w:t>SA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9456FF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564D3"/>
    <w:multiLevelType w:val="hybridMultilevel"/>
    <w:tmpl w:val="80CA26BA"/>
    <w:lvl w:ilvl="0" w:tplc="F2380330">
      <w:start w:val="1"/>
      <w:numFmt w:val="bullet"/>
      <w:lvlText w:val="-"/>
      <w:lvlJc w:val="left"/>
      <w:pPr>
        <w:ind w:left="445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D583E"/>
    <w:multiLevelType w:val="hybridMultilevel"/>
    <w:tmpl w:val="F4FC11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1"/>
  </w:num>
  <w:num w:numId="2" w16cid:durableId="1695574210">
    <w:abstractNumId w:val="21"/>
  </w:num>
  <w:num w:numId="3" w16cid:durableId="785778711">
    <w:abstractNumId w:val="24"/>
  </w:num>
  <w:num w:numId="4" w16cid:durableId="2002196983">
    <w:abstractNumId w:val="12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4"/>
  </w:num>
  <w:num w:numId="8" w16cid:durableId="721448139">
    <w:abstractNumId w:val="13"/>
  </w:num>
  <w:num w:numId="9" w16cid:durableId="1085146157">
    <w:abstractNumId w:val="10"/>
  </w:num>
  <w:num w:numId="10" w16cid:durableId="1907110565">
    <w:abstractNumId w:val="5"/>
  </w:num>
  <w:num w:numId="11" w16cid:durableId="1311591786">
    <w:abstractNumId w:val="22"/>
  </w:num>
  <w:num w:numId="12" w16cid:durableId="2011520305">
    <w:abstractNumId w:val="16"/>
  </w:num>
  <w:num w:numId="13" w16cid:durableId="1671524393">
    <w:abstractNumId w:val="17"/>
  </w:num>
  <w:num w:numId="14" w16cid:durableId="1266110594">
    <w:abstractNumId w:val="15"/>
  </w:num>
  <w:num w:numId="15" w16cid:durableId="391000802">
    <w:abstractNumId w:val="18"/>
  </w:num>
  <w:num w:numId="16" w16cid:durableId="1564825559">
    <w:abstractNumId w:val="19"/>
  </w:num>
  <w:num w:numId="17" w16cid:durableId="1671562194">
    <w:abstractNumId w:val="20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977152977">
    <w:abstractNumId w:val="9"/>
  </w:num>
  <w:num w:numId="25" w16cid:durableId="3428979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11918"/>
    <w:rsid w:val="0015409B"/>
    <w:rsid w:val="001A0DCD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176D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A2CD9"/>
    <w:rsid w:val="003A7D11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5F45CF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456FF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DF29F3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3A7D11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3A7D11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3A7D11"/>
    <w:pPr>
      <w:spacing w:after="0" w:line="240" w:lineRule="auto"/>
    </w:pPr>
    <w:rPr>
      <w:rFonts w:ascii="Times New Roman" w:hAnsi="Times New Roman"/>
      <w:sz w:val="18"/>
      <w:szCs w:val="18"/>
    </w:rPr>
  </w:style>
  <w:style w:type="table" w:styleId="Tabellenraster">
    <w:name w:val="Table Grid"/>
    <w:basedOn w:val="NormaleTabelle"/>
    <w:uiPriority w:val="39"/>
    <w:rsid w:val="002A176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spann">
    <w:name w:val="#Vorspann"/>
    <w:basedOn w:val="Standard"/>
    <w:qFormat/>
    <w:rsid w:val="002A176D"/>
    <w:pPr>
      <w:spacing w:after="120" w:line="240" w:lineRule="auto"/>
      <w:jc w:val="both"/>
    </w:pPr>
    <w:rPr>
      <w:sz w:val="19"/>
      <w:szCs w:val="19"/>
    </w:rPr>
  </w:style>
  <w:style w:type="paragraph" w:customStyle="1" w:styleId="TableHead">
    <w:name w:val="Table Head"/>
    <w:basedOn w:val="Standard"/>
    <w:qFormat/>
    <w:rsid w:val="002A176D"/>
    <w:pPr>
      <w:spacing w:after="0" w:line="240" w:lineRule="auto"/>
    </w:pPr>
    <w:rPr>
      <w:color w:val="FFFFFF"/>
      <w:sz w:val="19"/>
      <w:szCs w:val="19"/>
    </w:rPr>
  </w:style>
  <w:style w:type="paragraph" w:customStyle="1" w:styleId="TableSubline">
    <w:name w:val="Table Subline"/>
    <w:basedOn w:val="Vorspann"/>
    <w:qFormat/>
    <w:rsid w:val="001A0DCD"/>
    <w:rPr>
      <w:b/>
      <w:bCs/>
      <w:color w:val="DA4F46"/>
      <w:sz w:val="18"/>
      <w:szCs w:val="18"/>
      <w:lang w:val="en-US"/>
    </w:rPr>
  </w:style>
  <w:style w:type="character" w:styleId="Hyperlink">
    <w:name w:val="Hyperlink"/>
    <w:uiPriority w:val="99"/>
    <w:unhideWhenUsed/>
    <w:rsid w:val="001A0D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gel-monitor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2026-05-22T14:06:00Z</dcterms:created>
  <dcterms:modified xsi:type="dcterms:W3CDTF">2026-05-22T14:06:00Z</dcterms:modified>
</cp:coreProperties>
</file>