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443B8" w14:textId="19092EB5" w:rsidR="00B86C2F" w:rsidRDefault="009C06A2" w:rsidP="00B86C2F">
      <w:pPr>
        <w:tabs>
          <w:tab w:val="left" w:pos="5280"/>
        </w:tabs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b/>
          <w:noProof/>
          <w:lang w:eastAsia="de-DE"/>
        </w:rPr>
        <w:t xml:space="preserve"> </w:t>
      </w:r>
    </w:p>
    <w:tbl>
      <w:tblPr>
        <w:tblW w:w="9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99"/>
      </w:tblGrid>
      <w:tr w:rsidR="00B86C2F" w:rsidRPr="00B86C2F" w14:paraId="2CB5BA5D" w14:textId="77777777" w:rsidTr="00F93A86">
        <w:tblPrEx>
          <w:tblCellMar>
            <w:top w:w="0" w:type="dxa"/>
            <w:bottom w:w="0" w:type="dxa"/>
          </w:tblCellMar>
        </w:tblPrEx>
        <w:trPr>
          <w:trHeight w:val="301"/>
          <w:jc w:val="center"/>
        </w:trPr>
        <w:tc>
          <w:tcPr>
            <w:tcW w:w="9799" w:type="dxa"/>
            <w:shd w:val="clear" w:color="auto" w:fill="193965"/>
          </w:tcPr>
          <w:p w14:paraId="7DEA9DD4" w14:textId="77777777" w:rsidR="00B86C2F" w:rsidRPr="00B86C2F" w:rsidRDefault="00B86C2F" w:rsidP="00B86C2F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B86C2F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Schritt-für-Schritt-Anleitung: So handeln Sie im Ernstfall richtig! </w:t>
            </w:r>
          </w:p>
        </w:tc>
      </w:tr>
      <w:tr w:rsidR="00B86C2F" w:rsidRPr="00B86C2F" w14:paraId="5E6C310A" w14:textId="77777777" w:rsidTr="00F93A86">
        <w:tblPrEx>
          <w:tblCellMar>
            <w:top w:w="0" w:type="dxa"/>
            <w:bottom w:w="0" w:type="dxa"/>
          </w:tblCellMar>
        </w:tblPrEx>
        <w:trPr>
          <w:trHeight w:val="248"/>
          <w:jc w:val="center"/>
        </w:trPr>
        <w:tc>
          <w:tcPr>
            <w:tcW w:w="9799" w:type="dxa"/>
            <w:shd w:val="clear" w:color="auto" w:fill="C7E3AB"/>
          </w:tcPr>
          <w:p w14:paraId="615D96B9" w14:textId="1735B58F" w:rsidR="00B86C2F" w:rsidRPr="00B86C2F" w:rsidRDefault="00B86C2F" w:rsidP="00B86C2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86C2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Schritt 1: Ruhe bewahren und Situation sichern </w:t>
            </w:r>
          </w:p>
        </w:tc>
      </w:tr>
      <w:tr w:rsidR="00B86C2F" w:rsidRPr="00B86C2F" w14:paraId="13D3E21E" w14:textId="77777777" w:rsidTr="00F93A86">
        <w:tblPrEx>
          <w:tblCellMar>
            <w:top w:w="0" w:type="dxa"/>
            <w:bottom w:w="0" w:type="dxa"/>
          </w:tblCellMar>
        </w:tblPrEx>
        <w:trPr>
          <w:trHeight w:val="248"/>
          <w:jc w:val="center"/>
        </w:trPr>
        <w:tc>
          <w:tcPr>
            <w:tcW w:w="9799" w:type="dxa"/>
          </w:tcPr>
          <w:p w14:paraId="498BD0BE" w14:textId="09B0425B" w:rsidR="00B86C2F" w:rsidRPr="00B86C2F" w:rsidRDefault="00B86C2F" w:rsidP="00B86C2F">
            <w:pPr>
              <w:pStyle w:val="Listenabsatz"/>
              <w:numPr>
                <w:ilvl w:val="0"/>
                <w:numId w:val="23"/>
              </w:numPr>
              <w:spacing w:before="120" w:after="120"/>
              <w:ind w:left="334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B86C2F">
              <w:rPr>
                <w:rFonts w:ascii="Arial" w:hAnsi="Arial" w:cs="Arial"/>
                <w:color w:val="000000" w:themeColor="text1"/>
                <w:sz w:val="24"/>
              </w:rPr>
              <w:t xml:space="preserve">Vermeiden Sie Hektik und verschaffen Sie sich einen Überblick. </w:t>
            </w:r>
          </w:p>
        </w:tc>
      </w:tr>
      <w:tr w:rsidR="00B86C2F" w:rsidRPr="00B86C2F" w14:paraId="40EA2262" w14:textId="77777777" w:rsidTr="00F93A86">
        <w:tblPrEx>
          <w:tblCellMar>
            <w:top w:w="0" w:type="dxa"/>
            <w:bottom w:w="0" w:type="dxa"/>
          </w:tblCellMar>
        </w:tblPrEx>
        <w:trPr>
          <w:trHeight w:val="248"/>
          <w:jc w:val="center"/>
        </w:trPr>
        <w:tc>
          <w:tcPr>
            <w:tcW w:w="9799" w:type="dxa"/>
            <w:shd w:val="clear" w:color="auto" w:fill="C7E3AB"/>
          </w:tcPr>
          <w:p w14:paraId="7323D688" w14:textId="3262C5AB" w:rsidR="00B86C2F" w:rsidRPr="00B86C2F" w:rsidRDefault="00B86C2F" w:rsidP="00B86C2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86C2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Schritt 2: Blutung fördern, ohne zu saugen! </w:t>
            </w:r>
          </w:p>
        </w:tc>
      </w:tr>
      <w:tr w:rsidR="00B86C2F" w:rsidRPr="00B86C2F" w14:paraId="4E56AA9D" w14:textId="77777777" w:rsidTr="00F93A86">
        <w:tblPrEx>
          <w:tblCellMar>
            <w:top w:w="0" w:type="dxa"/>
            <w:bottom w:w="0" w:type="dxa"/>
          </w:tblCellMar>
        </w:tblPrEx>
        <w:trPr>
          <w:trHeight w:val="578"/>
          <w:jc w:val="center"/>
        </w:trPr>
        <w:tc>
          <w:tcPr>
            <w:tcW w:w="9799" w:type="dxa"/>
          </w:tcPr>
          <w:p w14:paraId="1AD1B27D" w14:textId="0FECA312" w:rsidR="00B86C2F" w:rsidRPr="00B86C2F" w:rsidRDefault="00B86C2F" w:rsidP="00B86C2F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34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B86C2F">
              <w:rPr>
                <w:rFonts w:ascii="Arial" w:hAnsi="Arial" w:cs="Arial"/>
                <w:color w:val="000000" w:themeColor="text1"/>
                <w:sz w:val="24"/>
              </w:rPr>
              <w:t xml:space="preserve">Lassen Sie die Wunde kurz bluten bzw. fördern Sie die Blutung vorsichtig, um potenzielle Erreger auszuleiten. </w:t>
            </w:r>
          </w:p>
          <w:p w14:paraId="506F066F" w14:textId="4B5186F1" w:rsidR="00B86C2F" w:rsidRPr="00B86C2F" w:rsidRDefault="00B86C2F" w:rsidP="00B86C2F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34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B86C2F">
              <w:rPr>
                <w:rFonts w:ascii="Arial" w:hAnsi="Arial" w:cs="Arial"/>
                <w:color w:val="000000" w:themeColor="text1"/>
                <w:sz w:val="24"/>
              </w:rPr>
              <w:t xml:space="preserve">Achtung: Die Wunde darf auf keinen Fall mit dem Mund ausgesaugt werden, auch nicht vom Betroffenen selbst! </w:t>
            </w:r>
          </w:p>
        </w:tc>
      </w:tr>
      <w:tr w:rsidR="00B86C2F" w:rsidRPr="00B86C2F" w14:paraId="66488F52" w14:textId="77777777" w:rsidTr="00F93A86">
        <w:tblPrEx>
          <w:tblCellMar>
            <w:top w:w="0" w:type="dxa"/>
            <w:bottom w:w="0" w:type="dxa"/>
          </w:tblCellMar>
        </w:tblPrEx>
        <w:trPr>
          <w:trHeight w:val="578"/>
          <w:jc w:val="center"/>
        </w:trPr>
        <w:tc>
          <w:tcPr>
            <w:tcW w:w="9799" w:type="dxa"/>
            <w:shd w:val="clear" w:color="auto" w:fill="C7E3AB"/>
          </w:tcPr>
          <w:p w14:paraId="249AEB7B" w14:textId="2DD11763" w:rsidR="00B86C2F" w:rsidRPr="00B86C2F" w:rsidRDefault="00B86C2F" w:rsidP="00B86C2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86C2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Schritt 3: Wundreinigung und Desinfektion </w:t>
            </w:r>
          </w:p>
        </w:tc>
      </w:tr>
      <w:tr w:rsidR="00B86C2F" w:rsidRPr="00B86C2F" w14:paraId="0226977B" w14:textId="77777777" w:rsidTr="00F93A86">
        <w:tblPrEx>
          <w:tblCellMar>
            <w:top w:w="0" w:type="dxa"/>
            <w:bottom w:w="0" w:type="dxa"/>
          </w:tblCellMar>
        </w:tblPrEx>
        <w:trPr>
          <w:trHeight w:val="1018"/>
          <w:jc w:val="center"/>
        </w:trPr>
        <w:tc>
          <w:tcPr>
            <w:tcW w:w="9799" w:type="dxa"/>
          </w:tcPr>
          <w:p w14:paraId="307DA532" w14:textId="3399E063" w:rsidR="00B86C2F" w:rsidRPr="00B86C2F" w:rsidRDefault="00B86C2F" w:rsidP="00B86C2F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34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B86C2F">
              <w:rPr>
                <w:rFonts w:ascii="Arial" w:hAnsi="Arial" w:cs="Arial"/>
                <w:color w:val="000000" w:themeColor="text1"/>
                <w:sz w:val="24"/>
              </w:rPr>
              <w:t>Eine mechanische Reinigung der Wunde mit anschließender chemischer Desin</w:t>
            </w:r>
            <w:r w:rsidRPr="00B86C2F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fektion reduziert die Keime bestmöglich. </w:t>
            </w:r>
          </w:p>
          <w:p w14:paraId="5F373FB6" w14:textId="35487AF5" w:rsidR="00B86C2F" w:rsidRPr="00B86C2F" w:rsidRDefault="00B86C2F" w:rsidP="00B86C2F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34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B86C2F">
              <w:rPr>
                <w:rFonts w:ascii="Arial" w:hAnsi="Arial" w:cs="Arial"/>
                <w:color w:val="000000" w:themeColor="text1"/>
                <w:sz w:val="24"/>
              </w:rPr>
              <w:t xml:space="preserve">Reinigen Sie die Wunde kurz mit Wasser oder steriler Kochsalzlösung, um die </w:t>
            </w:r>
            <w:proofErr w:type="spellStart"/>
            <w:r w:rsidRPr="00B86C2F">
              <w:rPr>
                <w:rFonts w:ascii="Arial" w:hAnsi="Arial" w:cs="Arial"/>
                <w:color w:val="000000" w:themeColor="text1"/>
                <w:sz w:val="24"/>
              </w:rPr>
              <w:t>Keimlast</w:t>
            </w:r>
            <w:proofErr w:type="spellEnd"/>
            <w:r w:rsidRPr="00B86C2F">
              <w:rPr>
                <w:rFonts w:ascii="Arial" w:hAnsi="Arial" w:cs="Arial"/>
                <w:color w:val="000000" w:themeColor="text1"/>
                <w:sz w:val="24"/>
              </w:rPr>
              <w:t xml:space="preserve"> zu reduzieren. </w:t>
            </w:r>
          </w:p>
          <w:p w14:paraId="7BC65137" w14:textId="5FCC7F12" w:rsidR="00B86C2F" w:rsidRPr="00B86C2F" w:rsidRDefault="00B86C2F" w:rsidP="00B86C2F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34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B86C2F">
              <w:rPr>
                <w:rFonts w:ascii="Arial" w:hAnsi="Arial" w:cs="Arial"/>
                <w:color w:val="000000" w:themeColor="text1"/>
                <w:sz w:val="24"/>
              </w:rPr>
              <w:t>Behandeln Sie diese anschließend mit einem geeigneten Desinfektionsmittel (mit mindestens begrenzt viruzider Wirksamkeit), damit in der Wunde verblei</w:t>
            </w:r>
            <w:r w:rsidRPr="00B86C2F">
              <w:rPr>
                <w:rFonts w:ascii="Arial" w:hAnsi="Arial" w:cs="Arial"/>
                <w:color w:val="000000" w:themeColor="text1"/>
                <w:sz w:val="24"/>
              </w:rPr>
              <w:softHyphen/>
              <w:t>bende Erreger inaktiviert werden. Achten Sie auf die Einhaltung der erforder</w:t>
            </w:r>
            <w:r w:rsidRPr="00B86C2F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lichen Einwirkzeit. </w:t>
            </w:r>
          </w:p>
        </w:tc>
      </w:tr>
      <w:tr w:rsidR="00B86C2F" w:rsidRPr="00B86C2F" w14:paraId="19D38639" w14:textId="77777777" w:rsidTr="00F93A86">
        <w:tblPrEx>
          <w:tblCellMar>
            <w:top w:w="0" w:type="dxa"/>
            <w:bottom w:w="0" w:type="dxa"/>
          </w:tblCellMar>
        </w:tblPrEx>
        <w:trPr>
          <w:trHeight w:val="177"/>
          <w:jc w:val="center"/>
        </w:trPr>
        <w:tc>
          <w:tcPr>
            <w:tcW w:w="9799" w:type="dxa"/>
            <w:shd w:val="clear" w:color="auto" w:fill="C7E3AB"/>
          </w:tcPr>
          <w:p w14:paraId="0E8B8755" w14:textId="7FBB52B8" w:rsidR="00B86C2F" w:rsidRPr="00B86C2F" w:rsidRDefault="00B86C2F" w:rsidP="00B86C2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86C2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Schritt 4: Sterile Wundversorgung </w:t>
            </w:r>
          </w:p>
        </w:tc>
      </w:tr>
      <w:tr w:rsidR="00B86C2F" w:rsidRPr="00B86C2F" w14:paraId="0A5B2F53" w14:textId="77777777" w:rsidTr="00F93A86">
        <w:tblPrEx>
          <w:tblCellMar>
            <w:top w:w="0" w:type="dxa"/>
            <w:bottom w:w="0" w:type="dxa"/>
          </w:tblCellMar>
        </w:tblPrEx>
        <w:trPr>
          <w:trHeight w:val="248"/>
          <w:jc w:val="center"/>
        </w:trPr>
        <w:tc>
          <w:tcPr>
            <w:tcW w:w="9799" w:type="dxa"/>
          </w:tcPr>
          <w:p w14:paraId="7F01FD31" w14:textId="0E09F032" w:rsidR="00B86C2F" w:rsidRPr="00B86C2F" w:rsidRDefault="00B86C2F" w:rsidP="00B86C2F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34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B86C2F">
              <w:rPr>
                <w:rFonts w:ascii="Arial" w:hAnsi="Arial" w:cs="Arial"/>
                <w:color w:val="000000" w:themeColor="text1"/>
                <w:sz w:val="24"/>
              </w:rPr>
              <w:t xml:space="preserve">Decken Sie die Einstichstelle mit einem sterilen Verband ab. </w:t>
            </w:r>
          </w:p>
        </w:tc>
      </w:tr>
      <w:tr w:rsidR="00B86C2F" w:rsidRPr="00B86C2F" w14:paraId="2BAD4AD1" w14:textId="77777777" w:rsidTr="00F93A86">
        <w:tblPrEx>
          <w:tblCellMar>
            <w:top w:w="0" w:type="dxa"/>
            <w:bottom w:w="0" w:type="dxa"/>
          </w:tblCellMar>
        </w:tblPrEx>
        <w:trPr>
          <w:trHeight w:val="248"/>
          <w:jc w:val="center"/>
        </w:trPr>
        <w:tc>
          <w:tcPr>
            <w:tcW w:w="9799" w:type="dxa"/>
            <w:shd w:val="clear" w:color="auto" w:fill="C7E3AB"/>
          </w:tcPr>
          <w:p w14:paraId="5C93C304" w14:textId="224E753A" w:rsidR="00B86C2F" w:rsidRPr="00B86C2F" w:rsidRDefault="00B86C2F" w:rsidP="00B86C2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86C2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Schritt 5: Einschätzung des Infektionsrisikos </w:t>
            </w:r>
          </w:p>
        </w:tc>
      </w:tr>
      <w:tr w:rsidR="00B86C2F" w:rsidRPr="00B86C2F" w14:paraId="2F9D0861" w14:textId="77777777" w:rsidTr="00F93A86">
        <w:tblPrEx>
          <w:tblCellMar>
            <w:top w:w="0" w:type="dxa"/>
            <w:bottom w:w="0" w:type="dxa"/>
          </w:tblCellMar>
        </w:tblPrEx>
        <w:trPr>
          <w:trHeight w:val="688"/>
          <w:jc w:val="center"/>
        </w:trPr>
        <w:tc>
          <w:tcPr>
            <w:tcW w:w="9799" w:type="dxa"/>
          </w:tcPr>
          <w:p w14:paraId="32509556" w14:textId="04119181" w:rsidR="00B86C2F" w:rsidRPr="00B86C2F" w:rsidRDefault="00B86C2F" w:rsidP="00B86C2F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34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B86C2F">
              <w:rPr>
                <w:rFonts w:ascii="Arial" w:hAnsi="Arial" w:cs="Arial"/>
                <w:color w:val="000000" w:themeColor="text1"/>
                <w:sz w:val="24"/>
              </w:rPr>
              <w:t xml:space="preserve">Klären Sie, ob bei der Person, bei der die Nadel zuvor verwendet wurde, eine Infektion bekannt ist (z. B. HIV oder Hepatitis), sofern ein solcher Rückschluss möglich ist. </w:t>
            </w:r>
          </w:p>
          <w:p w14:paraId="6BA18CA2" w14:textId="60724E7F" w:rsidR="00B86C2F" w:rsidRPr="00B86C2F" w:rsidRDefault="00B86C2F" w:rsidP="00B86C2F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34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B86C2F">
              <w:rPr>
                <w:rFonts w:ascii="Arial" w:hAnsi="Arial" w:cs="Arial"/>
                <w:color w:val="000000" w:themeColor="text1"/>
                <w:sz w:val="24"/>
              </w:rPr>
              <w:t>Ist der Infektionsstatus nicht bekannt, sollten Sie vorsorglich von einem mög</w:t>
            </w:r>
            <w:r w:rsidRPr="00B86C2F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lichen Infektionsrisiko ausgehen und weitere Maßnahmen einleiten. </w:t>
            </w:r>
          </w:p>
        </w:tc>
      </w:tr>
      <w:tr w:rsidR="00B86C2F" w:rsidRPr="00B86C2F" w14:paraId="0B4023CD" w14:textId="77777777" w:rsidTr="00F93A86">
        <w:tblPrEx>
          <w:tblCellMar>
            <w:top w:w="0" w:type="dxa"/>
            <w:bottom w:w="0" w:type="dxa"/>
          </w:tblCellMar>
        </w:tblPrEx>
        <w:trPr>
          <w:trHeight w:val="688"/>
          <w:jc w:val="center"/>
        </w:trPr>
        <w:tc>
          <w:tcPr>
            <w:tcW w:w="9799" w:type="dxa"/>
            <w:shd w:val="clear" w:color="auto" w:fill="C7E3AB"/>
          </w:tcPr>
          <w:p w14:paraId="45B9FD88" w14:textId="73CAF3EC" w:rsidR="00B86C2F" w:rsidRPr="00B86C2F" w:rsidRDefault="00B86C2F" w:rsidP="00B86C2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86C2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Schritt 6: Ärztliche Abklärung </w:t>
            </w:r>
          </w:p>
        </w:tc>
      </w:tr>
      <w:tr w:rsidR="00B86C2F" w:rsidRPr="00B86C2F" w14:paraId="11837DA5" w14:textId="77777777" w:rsidTr="00F93A86">
        <w:tblPrEx>
          <w:tblCellMar>
            <w:top w:w="0" w:type="dxa"/>
            <w:bottom w:w="0" w:type="dxa"/>
          </w:tblCellMar>
        </w:tblPrEx>
        <w:trPr>
          <w:trHeight w:val="468"/>
          <w:jc w:val="center"/>
        </w:trPr>
        <w:tc>
          <w:tcPr>
            <w:tcW w:w="9799" w:type="dxa"/>
          </w:tcPr>
          <w:p w14:paraId="4EA007A9" w14:textId="2DC1EA27" w:rsidR="00B86C2F" w:rsidRPr="00B86C2F" w:rsidRDefault="00B86C2F" w:rsidP="00B86C2F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34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B86C2F">
              <w:rPr>
                <w:rFonts w:ascii="Arial" w:hAnsi="Arial" w:cs="Arial"/>
                <w:color w:val="000000" w:themeColor="text1"/>
                <w:sz w:val="24"/>
              </w:rPr>
              <w:t xml:space="preserve">Der betroffene Mitarbeiter ist unverzüglich beim Durchgangsarzt vorzustellen. </w:t>
            </w:r>
          </w:p>
          <w:p w14:paraId="3D195FF8" w14:textId="530FC2A7" w:rsidR="00B86C2F" w:rsidRPr="00B86C2F" w:rsidRDefault="00B86C2F" w:rsidP="00B86C2F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34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B86C2F">
              <w:rPr>
                <w:rFonts w:ascii="Arial" w:hAnsi="Arial" w:cs="Arial"/>
                <w:color w:val="000000" w:themeColor="text1"/>
                <w:sz w:val="24"/>
              </w:rPr>
              <w:t>Dieser wird bei entsprechendem Risiko eine medikamentöse Prophylaxe ein</w:t>
            </w:r>
            <w:r w:rsidRPr="00B86C2F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leiten. </w:t>
            </w:r>
          </w:p>
        </w:tc>
      </w:tr>
      <w:tr w:rsidR="00B86C2F" w:rsidRPr="00B86C2F" w14:paraId="47F9E24A" w14:textId="77777777" w:rsidTr="00F93A86">
        <w:tblPrEx>
          <w:tblCellMar>
            <w:top w:w="0" w:type="dxa"/>
            <w:bottom w:w="0" w:type="dxa"/>
          </w:tblCellMar>
        </w:tblPrEx>
        <w:trPr>
          <w:trHeight w:val="468"/>
          <w:jc w:val="center"/>
        </w:trPr>
        <w:tc>
          <w:tcPr>
            <w:tcW w:w="9799" w:type="dxa"/>
            <w:shd w:val="clear" w:color="auto" w:fill="C7E3AB"/>
          </w:tcPr>
          <w:p w14:paraId="36647C1B" w14:textId="3075C0CA" w:rsidR="00B86C2F" w:rsidRPr="00B86C2F" w:rsidRDefault="00B86C2F" w:rsidP="00B86C2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86C2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Schritt 7: Unfall melden und dokumentieren </w:t>
            </w:r>
          </w:p>
        </w:tc>
      </w:tr>
      <w:tr w:rsidR="00B86C2F" w:rsidRPr="00B86C2F" w14:paraId="6D6765C2" w14:textId="77777777" w:rsidTr="00F93A86">
        <w:tblPrEx>
          <w:tblCellMar>
            <w:top w:w="0" w:type="dxa"/>
            <w:bottom w:w="0" w:type="dxa"/>
          </w:tblCellMar>
        </w:tblPrEx>
        <w:trPr>
          <w:trHeight w:val="578"/>
          <w:jc w:val="center"/>
        </w:trPr>
        <w:tc>
          <w:tcPr>
            <w:tcW w:w="9799" w:type="dxa"/>
          </w:tcPr>
          <w:p w14:paraId="1DEDA716" w14:textId="68377276" w:rsidR="00B86C2F" w:rsidRPr="00B86C2F" w:rsidRDefault="00B86C2F" w:rsidP="00B86C2F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34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B86C2F">
              <w:rPr>
                <w:rFonts w:ascii="Arial" w:hAnsi="Arial" w:cs="Arial"/>
                <w:color w:val="000000" w:themeColor="text1"/>
                <w:sz w:val="24"/>
              </w:rPr>
              <w:t xml:space="preserve">Jede Nadelstichverletzung gilt als Arbeitsunfall und muss gemeldet werden. </w:t>
            </w:r>
          </w:p>
          <w:p w14:paraId="5F7A2EEF" w14:textId="5E9F083E" w:rsidR="00B86C2F" w:rsidRPr="00B86C2F" w:rsidRDefault="00B86C2F" w:rsidP="00B86C2F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34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B86C2F">
              <w:rPr>
                <w:rFonts w:ascii="Arial" w:hAnsi="Arial" w:cs="Arial"/>
                <w:color w:val="000000" w:themeColor="text1"/>
                <w:sz w:val="24"/>
              </w:rPr>
              <w:t>Eine lückenlose Dokumentation, z. B. im Verbandbuch, ist unverzichtbar. Eine Unfallanzeige an die Berufsgenossenschaft für Wohlfahrtspflege ist erforder</w:t>
            </w:r>
            <w:r w:rsidRPr="00B86C2F">
              <w:rPr>
                <w:rFonts w:ascii="Arial" w:hAnsi="Arial" w:cs="Arial"/>
                <w:color w:val="000000" w:themeColor="text1"/>
                <w:sz w:val="24"/>
              </w:rPr>
              <w:softHyphen/>
              <w:t>lich, wenn eine Arbeitsunfähigkeit von mehr als drei Tagen eintritt.</w:t>
            </w:r>
          </w:p>
        </w:tc>
      </w:tr>
    </w:tbl>
    <w:p w14:paraId="06FD1B27" w14:textId="77777777" w:rsidR="00B86C2F" w:rsidRPr="00AD4A2E" w:rsidRDefault="00B86C2F" w:rsidP="00AD4A2E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B86C2F" w:rsidRPr="00AD4A2E" w:rsidSect="00B86C2F">
      <w:headerReference w:type="default" r:id="rId9"/>
      <w:pgSz w:w="11906" w:h="16838" w:code="9"/>
      <w:pgMar w:top="-1560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31936" w14:textId="77777777" w:rsidR="00FB288D" w:rsidRDefault="00FB288D" w:rsidP="002A5D13">
      <w:pPr>
        <w:spacing w:after="0" w:line="240" w:lineRule="auto"/>
      </w:pPr>
      <w:r>
        <w:separator/>
      </w:r>
    </w:p>
  </w:endnote>
  <w:endnote w:type="continuationSeparator" w:id="0">
    <w:p w14:paraId="7B55AF9A" w14:textId="77777777" w:rsidR="00FB288D" w:rsidRDefault="00FB288D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B9693" w14:textId="77777777" w:rsidR="00FB288D" w:rsidRDefault="00FB288D" w:rsidP="002A5D13">
      <w:pPr>
        <w:spacing w:after="0" w:line="240" w:lineRule="auto"/>
      </w:pPr>
      <w:r>
        <w:separator/>
      </w:r>
    </w:p>
  </w:footnote>
  <w:footnote w:type="continuationSeparator" w:id="0">
    <w:p w14:paraId="421540FD" w14:textId="77777777" w:rsidR="00FB288D" w:rsidRDefault="00FB288D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6D2A6870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4C730A">
            <w:rPr>
              <w:b/>
              <w:color w:val="FFFFFF"/>
              <w:sz w:val="24"/>
            </w:rPr>
            <w:t>1</w:t>
          </w:r>
          <w:r w:rsidR="00AE7949">
            <w:rPr>
              <w:b/>
              <w:color w:val="FFFFFF"/>
              <w:sz w:val="24"/>
            </w:rPr>
            <w:t>2</w:t>
          </w:r>
          <w:r w:rsidR="00826760">
            <w:rPr>
              <w:b/>
              <w:color w:val="FFFFFF"/>
              <w:sz w:val="24"/>
            </w:rPr>
            <w:t xml:space="preserve"> - 20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B477F"/>
    <w:multiLevelType w:val="hybridMultilevel"/>
    <w:tmpl w:val="2BD271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10"/>
  </w:num>
  <w:num w:numId="2" w16cid:durableId="110518625">
    <w:abstractNumId w:val="20"/>
  </w:num>
  <w:num w:numId="3" w16cid:durableId="1023476870">
    <w:abstractNumId w:val="22"/>
  </w:num>
  <w:num w:numId="4" w16cid:durableId="1632981953">
    <w:abstractNumId w:val="11"/>
  </w:num>
  <w:num w:numId="5" w16cid:durableId="334385539">
    <w:abstractNumId w:val="7"/>
  </w:num>
  <w:num w:numId="6" w16cid:durableId="292560944">
    <w:abstractNumId w:val="8"/>
  </w:num>
  <w:num w:numId="7" w16cid:durableId="617414864">
    <w:abstractNumId w:val="13"/>
  </w:num>
  <w:num w:numId="8" w16cid:durableId="1349798627">
    <w:abstractNumId w:val="12"/>
  </w:num>
  <w:num w:numId="9" w16cid:durableId="425809380">
    <w:abstractNumId w:val="9"/>
  </w:num>
  <w:num w:numId="10" w16cid:durableId="2045593739">
    <w:abstractNumId w:val="5"/>
  </w:num>
  <w:num w:numId="11" w16cid:durableId="2030179877">
    <w:abstractNumId w:val="21"/>
  </w:num>
  <w:num w:numId="12" w16cid:durableId="808983353">
    <w:abstractNumId w:val="15"/>
  </w:num>
  <w:num w:numId="13" w16cid:durableId="1540699642">
    <w:abstractNumId w:val="16"/>
  </w:num>
  <w:num w:numId="14" w16cid:durableId="1014500060">
    <w:abstractNumId w:val="14"/>
  </w:num>
  <w:num w:numId="15" w16cid:durableId="473067152">
    <w:abstractNumId w:val="17"/>
  </w:num>
  <w:num w:numId="16" w16cid:durableId="516389024">
    <w:abstractNumId w:val="18"/>
  </w:num>
  <w:num w:numId="17" w16cid:durableId="1666322767">
    <w:abstractNumId w:val="19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16309359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75BC0"/>
    <w:rsid w:val="000B50CC"/>
    <w:rsid w:val="000B5E78"/>
    <w:rsid w:val="000C6A2D"/>
    <w:rsid w:val="000E54B5"/>
    <w:rsid w:val="00105063"/>
    <w:rsid w:val="0015409B"/>
    <w:rsid w:val="00197AF9"/>
    <w:rsid w:val="001B429B"/>
    <w:rsid w:val="001D71D3"/>
    <w:rsid w:val="00205D0C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676E3"/>
    <w:rsid w:val="00380EF0"/>
    <w:rsid w:val="003A1644"/>
    <w:rsid w:val="003E3400"/>
    <w:rsid w:val="0042075B"/>
    <w:rsid w:val="00433F51"/>
    <w:rsid w:val="004639C0"/>
    <w:rsid w:val="00475E98"/>
    <w:rsid w:val="004955F6"/>
    <w:rsid w:val="004A47F9"/>
    <w:rsid w:val="004C2396"/>
    <w:rsid w:val="004C730A"/>
    <w:rsid w:val="004E6AAB"/>
    <w:rsid w:val="0050689E"/>
    <w:rsid w:val="00547B8D"/>
    <w:rsid w:val="00551B88"/>
    <w:rsid w:val="00587D31"/>
    <w:rsid w:val="005E1850"/>
    <w:rsid w:val="00614D0A"/>
    <w:rsid w:val="00653E72"/>
    <w:rsid w:val="00661981"/>
    <w:rsid w:val="006A5CFE"/>
    <w:rsid w:val="006E18EF"/>
    <w:rsid w:val="0077330A"/>
    <w:rsid w:val="00782522"/>
    <w:rsid w:val="007A7CA7"/>
    <w:rsid w:val="007B0290"/>
    <w:rsid w:val="007C0AE5"/>
    <w:rsid w:val="007E1A2E"/>
    <w:rsid w:val="00825AFB"/>
    <w:rsid w:val="00826760"/>
    <w:rsid w:val="00841FA8"/>
    <w:rsid w:val="00852BFB"/>
    <w:rsid w:val="008633AC"/>
    <w:rsid w:val="00887070"/>
    <w:rsid w:val="008B1F83"/>
    <w:rsid w:val="008E62B1"/>
    <w:rsid w:val="008F5C4C"/>
    <w:rsid w:val="00937B0B"/>
    <w:rsid w:val="009433D9"/>
    <w:rsid w:val="00983536"/>
    <w:rsid w:val="009B721F"/>
    <w:rsid w:val="009C06A2"/>
    <w:rsid w:val="009D2836"/>
    <w:rsid w:val="00A06C64"/>
    <w:rsid w:val="00A56A28"/>
    <w:rsid w:val="00AC136E"/>
    <w:rsid w:val="00AD4A2E"/>
    <w:rsid w:val="00AE4D06"/>
    <w:rsid w:val="00AE7949"/>
    <w:rsid w:val="00B01FFE"/>
    <w:rsid w:val="00B707AF"/>
    <w:rsid w:val="00B86C2F"/>
    <w:rsid w:val="00B87D52"/>
    <w:rsid w:val="00BC398F"/>
    <w:rsid w:val="00BD71E9"/>
    <w:rsid w:val="00C135D1"/>
    <w:rsid w:val="00C310AF"/>
    <w:rsid w:val="00C73E1A"/>
    <w:rsid w:val="00CA1A10"/>
    <w:rsid w:val="00CC38C8"/>
    <w:rsid w:val="00D10D40"/>
    <w:rsid w:val="00D242BF"/>
    <w:rsid w:val="00D86187"/>
    <w:rsid w:val="00DB32C7"/>
    <w:rsid w:val="00DD54CC"/>
    <w:rsid w:val="00E163C6"/>
    <w:rsid w:val="00E17069"/>
    <w:rsid w:val="00E2265E"/>
    <w:rsid w:val="00EA5F7F"/>
    <w:rsid w:val="00EB3636"/>
    <w:rsid w:val="00ED3984"/>
    <w:rsid w:val="00F12F5E"/>
    <w:rsid w:val="00F20663"/>
    <w:rsid w:val="00F64056"/>
    <w:rsid w:val="00F93A86"/>
    <w:rsid w:val="00FA19D7"/>
    <w:rsid w:val="00FB288D"/>
    <w:rsid w:val="00FB3A5A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3</cp:revision>
  <cp:lastPrinted>2013-12-09T12:30:00Z</cp:lastPrinted>
  <dcterms:created xsi:type="dcterms:W3CDTF">2026-05-29T10:17:00Z</dcterms:created>
  <dcterms:modified xsi:type="dcterms:W3CDTF">2026-05-29T10:18:00Z</dcterms:modified>
</cp:coreProperties>
</file>