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8A6387" w14:textId="42B26E9E" w:rsidR="000B1635" w:rsidRDefault="007A7CA7" w:rsidP="00F5361A">
      <w:pPr>
        <w:tabs>
          <w:tab w:val="left" w:pos="5280"/>
        </w:tabs>
      </w:pPr>
      <w:r>
        <w:rPr>
          <w:b/>
          <w:noProof/>
          <w:lang w:eastAsia="de-DE"/>
        </w:rPr>
        <w:tab/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1"/>
        <w:gridCol w:w="7656"/>
      </w:tblGrid>
      <w:tr w:rsidR="000B1635" w:rsidRPr="000B1635" w14:paraId="743FF22B" w14:textId="77777777" w:rsidTr="00F5361A">
        <w:trPr>
          <w:trHeight w:val="122"/>
          <w:jc w:val="center"/>
        </w:trPr>
        <w:tc>
          <w:tcPr>
            <w:tcW w:w="10627" w:type="dxa"/>
            <w:gridSpan w:val="2"/>
            <w:shd w:val="clear" w:color="auto" w:fill="0099CC"/>
          </w:tcPr>
          <w:p w14:paraId="7815B7FA" w14:textId="0D5E5177" w:rsidR="000B1635" w:rsidRPr="000B1635" w:rsidRDefault="000B1635" w:rsidP="000B1635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0B1635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Übersicht: Ideen </w:t>
            </w: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f</w:t>
            </w:r>
            <w:r w:rsidRPr="000B1635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ür </w:t>
            </w: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e</w:t>
            </w:r>
            <w:r w:rsidRPr="000B1635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ine </w:t>
            </w: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n</w:t>
            </w:r>
            <w:r w:rsidRPr="000B1635">
              <w:rPr>
                <w:rFonts w:ascii="Arial" w:hAnsi="Arial" w:cs="Arial"/>
                <w:b/>
                <w:color w:val="FFFFFF"/>
                <w:sz w:val="28"/>
                <w:szCs w:val="28"/>
              </w:rPr>
              <w:t>eue Struktur Ihres Q</w:t>
            </w: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MH</w:t>
            </w:r>
          </w:p>
        </w:tc>
      </w:tr>
      <w:tr w:rsidR="000B1635" w:rsidRPr="000B1635" w14:paraId="1DF4CA58" w14:textId="77777777" w:rsidTr="00EB0E40">
        <w:trPr>
          <w:trHeight w:val="122"/>
          <w:jc w:val="center"/>
        </w:trPr>
        <w:tc>
          <w:tcPr>
            <w:tcW w:w="2971" w:type="dxa"/>
            <w:tcBorders>
              <w:bottom w:val="single" w:sz="4" w:space="0" w:color="auto"/>
            </w:tcBorders>
          </w:tcPr>
          <w:p w14:paraId="1C18DAD3" w14:textId="77777777" w:rsidR="000B1635" w:rsidRPr="000B1635" w:rsidRDefault="000B1635" w:rsidP="000B163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0B1635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Struktur des Inhaltsverzeichnisses </w:t>
            </w:r>
          </w:p>
        </w:tc>
        <w:tc>
          <w:tcPr>
            <w:tcW w:w="7656" w:type="dxa"/>
            <w:tcBorders>
              <w:bottom w:val="single" w:sz="4" w:space="0" w:color="auto"/>
            </w:tcBorders>
          </w:tcPr>
          <w:p w14:paraId="008F8BDA" w14:textId="3493F73E" w:rsidR="000B1635" w:rsidRPr="000B1635" w:rsidRDefault="000B1635" w:rsidP="000B163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0B1635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Beispiele für Regelungen und Formulare, </w:t>
            </w:r>
            <w:r w:rsidR="00411FEC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br/>
            </w:r>
            <w:r w:rsidRPr="000B1635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die Sie hier abheften können: </w:t>
            </w:r>
          </w:p>
        </w:tc>
      </w:tr>
      <w:tr w:rsidR="000B1635" w:rsidRPr="000B1635" w14:paraId="3F1BE8A2" w14:textId="77777777" w:rsidTr="00EB0E40">
        <w:trPr>
          <w:trHeight w:val="122"/>
          <w:jc w:val="center"/>
        </w:trPr>
        <w:tc>
          <w:tcPr>
            <w:tcW w:w="10627" w:type="dxa"/>
            <w:gridSpan w:val="2"/>
            <w:shd w:val="clear" w:color="auto" w:fill="C4EEF4"/>
          </w:tcPr>
          <w:p w14:paraId="53034286" w14:textId="77777777" w:rsidR="000B1635" w:rsidRPr="000B1635" w:rsidRDefault="000B1635" w:rsidP="000B163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0B1635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Qualitätsbereich 1: Unabhängig von vereinbarten Leistungen zu prüfende Aspekte </w:t>
            </w:r>
          </w:p>
        </w:tc>
      </w:tr>
      <w:tr w:rsidR="000B1635" w:rsidRPr="000B1635" w14:paraId="28640F12" w14:textId="77777777" w:rsidTr="00F5361A">
        <w:trPr>
          <w:trHeight w:val="348"/>
          <w:jc w:val="center"/>
        </w:trPr>
        <w:tc>
          <w:tcPr>
            <w:tcW w:w="2971" w:type="dxa"/>
          </w:tcPr>
          <w:p w14:paraId="2CB857D5" w14:textId="3E09312C" w:rsidR="000B1635" w:rsidRPr="000B1635" w:rsidRDefault="000B1635" w:rsidP="000B16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0B1635">
              <w:rPr>
                <w:rFonts w:ascii="Arial" w:hAnsi="Arial" w:cs="Arial"/>
                <w:color w:val="000000" w:themeColor="text1"/>
                <w:sz w:val="24"/>
              </w:rPr>
              <w:t>1.1 Aufnahme</w:t>
            </w:r>
            <w:r>
              <w:rPr>
                <w:rFonts w:ascii="Arial" w:hAnsi="Arial" w:cs="Arial"/>
                <w:color w:val="000000" w:themeColor="text1"/>
                <w:sz w:val="24"/>
              </w:rPr>
              <w:t>-</w:t>
            </w:r>
            <w:r w:rsidRPr="000B1635">
              <w:rPr>
                <w:rFonts w:ascii="Arial" w:hAnsi="Arial" w:cs="Arial"/>
                <w:color w:val="000000" w:themeColor="text1"/>
                <w:sz w:val="24"/>
              </w:rPr>
              <w:t xml:space="preserve">management </w:t>
            </w:r>
          </w:p>
        </w:tc>
        <w:tc>
          <w:tcPr>
            <w:tcW w:w="7656" w:type="dxa"/>
          </w:tcPr>
          <w:p w14:paraId="3D155B73" w14:textId="77777777" w:rsidR="000B1635" w:rsidRPr="000B1635" w:rsidRDefault="000B1635" w:rsidP="00F5361A">
            <w:pPr>
              <w:numPr>
                <w:ilvl w:val="0"/>
                <w:numId w:val="41"/>
              </w:numPr>
              <w:spacing w:before="120" w:after="120"/>
              <w:ind w:left="322" w:hanging="322"/>
              <w:rPr>
                <w:rFonts w:ascii="Arial" w:hAnsi="Arial" w:cs="Arial"/>
                <w:color w:val="000000" w:themeColor="text1"/>
                <w:sz w:val="24"/>
              </w:rPr>
            </w:pPr>
            <w:r w:rsidRPr="000B1635">
              <w:rPr>
                <w:rFonts w:ascii="Arial" w:hAnsi="Arial" w:cs="Arial"/>
                <w:color w:val="000000" w:themeColor="text1"/>
                <w:sz w:val="24"/>
              </w:rPr>
              <w:t xml:space="preserve">Verfahrensregelungen und Formulare zum Erstgespräch </w:t>
            </w:r>
          </w:p>
          <w:p w14:paraId="0843B42E" w14:textId="6A25D68A" w:rsidR="000B1635" w:rsidRPr="000B1635" w:rsidRDefault="000B1635" w:rsidP="00F5361A">
            <w:pPr>
              <w:numPr>
                <w:ilvl w:val="0"/>
                <w:numId w:val="41"/>
              </w:numPr>
              <w:spacing w:before="120" w:after="120"/>
              <w:ind w:left="322" w:hanging="322"/>
              <w:rPr>
                <w:rFonts w:ascii="Arial" w:hAnsi="Arial" w:cs="Arial"/>
                <w:color w:val="000000" w:themeColor="text1"/>
                <w:sz w:val="24"/>
              </w:rPr>
            </w:pPr>
            <w:r w:rsidRPr="000B1635">
              <w:rPr>
                <w:rFonts w:ascii="Arial" w:hAnsi="Arial" w:cs="Arial"/>
                <w:color w:val="000000" w:themeColor="text1"/>
                <w:sz w:val="24"/>
              </w:rPr>
              <w:t xml:space="preserve">Verfahrensregelung und Formulare zum Krankenhausaufenthalt und Entlassmanagement </w:t>
            </w:r>
          </w:p>
        </w:tc>
      </w:tr>
      <w:tr w:rsidR="000B1635" w:rsidRPr="000B1635" w14:paraId="6ED8C244" w14:textId="77777777" w:rsidTr="00F5361A">
        <w:trPr>
          <w:trHeight w:val="348"/>
          <w:jc w:val="center"/>
        </w:trPr>
        <w:tc>
          <w:tcPr>
            <w:tcW w:w="2971" w:type="dxa"/>
          </w:tcPr>
          <w:p w14:paraId="21A2EE85" w14:textId="77777777" w:rsidR="000B1635" w:rsidRPr="000B1635" w:rsidRDefault="000B1635" w:rsidP="000B16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0B1635">
              <w:rPr>
                <w:rFonts w:ascii="Arial" w:hAnsi="Arial" w:cs="Arial"/>
                <w:color w:val="000000" w:themeColor="text1"/>
                <w:sz w:val="24"/>
              </w:rPr>
              <w:t xml:space="preserve">1.2 Erfassung von und Reaktion auf Risiken und Gefahren </w:t>
            </w:r>
          </w:p>
        </w:tc>
        <w:tc>
          <w:tcPr>
            <w:tcW w:w="7656" w:type="dxa"/>
          </w:tcPr>
          <w:p w14:paraId="17D59BA3" w14:textId="77777777" w:rsidR="000B1635" w:rsidRPr="000B1635" w:rsidRDefault="000B1635" w:rsidP="00F5361A">
            <w:pPr>
              <w:numPr>
                <w:ilvl w:val="0"/>
                <w:numId w:val="41"/>
              </w:numPr>
              <w:spacing w:before="120" w:after="120"/>
              <w:ind w:left="322" w:hanging="322"/>
              <w:rPr>
                <w:rFonts w:ascii="Arial" w:hAnsi="Arial" w:cs="Arial"/>
                <w:color w:val="000000" w:themeColor="text1"/>
                <w:sz w:val="24"/>
              </w:rPr>
            </w:pPr>
            <w:r w:rsidRPr="000B1635">
              <w:rPr>
                <w:rFonts w:ascii="Arial" w:hAnsi="Arial" w:cs="Arial"/>
                <w:color w:val="000000" w:themeColor="text1"/>
                <w:sz w:val="24"/>
              </w:rPr>
              <w:t xml:space="preserve">Verfahrensregelungen zu allen Expertenstandards </w:t>
            </w:r>
          </w:p>
          <w:p w14:paraId="78C082DF" w14:textId="77777777" w:rsidR="000B1635" w:rsidRPr="000B1635" w:rsidRDefault="000B1635" w:rsidP="00F5361A">
            <w:pPr>
              <w:numPr>
                <w:ilvl w:val="0"/>
                <w:numId w:val="41"/>
              </w:numPr>
              <w:spacing w:before="120" w:after="120"/>
              <w:ind w:left="322" w:hanging="322"/>
              <w:rPr>
                <w:rFonts w:ascii="Arial" w:hAnsi="Arial" w:cs="Arial"/>
                <w:color w:val="000000" w:themeColor="text1"/>
                <w:sz w:val="24"/>
              </w:rPr>
            </w:pPr>
            <w:r w:rsidRPr="000B1635">
              <w:rPr>
                <w:rFonts w:ascii="Arial" w:hAnsi="Arial" w:cs="Arial"/>
                <w:color w:val="000000" w:themeColor="text1"/>
                <w:sz w:val="24"/>
              </w:rPr>
              <w:t xml:space="preserve">Krisenmanagement, z. B. Hitzekonzept, </w:t>
            </w:r>
          </w:p>
          <w:p w14:paraId="4B4D483A" w14:textId="1769C04A" w:rsidR="000B1635" w:rsidRPr="000B1635" w:rsidRDefault="000B1635" w:rsidP="00F5361A">
            <w:pPr>
              <w:numPr>
                <w:ilvl w:val="0"/>
                <w:numId w:val="41"/>
              </w:numPr>
              <w:spacing w:before="120" w:after="120"/>
              <w:ind w:left="322" w:hanging="322"/>
              <w:rPr>
                <w:rFonts w:ascii="Arial" w:hAnsi="Arial" w:cs="Arial"/>
                <w:color w:val="000000" w:themeColor="text1"/>
                <w:sz w:val="24"/>
              </w:rPr>
            </w:pPr>
            <w:r w:rsidRPr="000B1635">
              <w:rPr>
                <w:rFonts w:ascii="Arial" w:hAnsi="Arial" w:cs="Arial"/>
                <w:color w:val="000000" w:themeColor="text1"/>
                <w:sz w:val="24"/>
              </w:rPr>
              <w:t xml:space="preserve">Umgang mit Notfallsituationen, Erste Hilfe </w:t>
            </w:r>
          </w:p>
        </w:tc>
      </w:tr>
      <w:tr w:rsidR="000B1635" w:rsidRPr="000B1635" w14:paraId="5258DB97" w14:textId="77777777" w:rsidTr="00EB0E40">
        <w:trPr>
          <w:trHeight w:val="348"/>
          <w:jc w:val="center"/>
        </w:trPr>
        <w:tc>
          <w:tcPr>
            <w:tcW w:w="2971" w:type="dxa"/>
            <w:tcBorders>
              <w:bottom w:val="single" w:sz="4" w:space="0" w:color="auto"/>
            </w:tcBorders>
          </w:tcPr>
          <w:p w14:paraId="0CA1ABCF" w14:textId="77777777" w:rsidR="000B1635" w:rsidRPr="000B1635" w:rsidRDefault="000B1635" w:rsidP="000B16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0B1635">
              <w:rPr>
                <w:rFonts w:ascii="Arial" w:hAnsi="Arial" w:cs="Arial"/>
                <w:color w:val="000000" w:themeColor="text1"/>
                <w:sz w:val="24"/>
              </w:rPr>
              <w:t xml:space="preserve">1.3 Erfassung von und Reaktion auf Anzeichen einer Destabilisierung der Versorgungssituation </w:t>
            </w:r>
          </w:p>
        </w:tc>
        <w:tc>
          <w:tcPr>
            <w:tcW w:w="7656" w:type="dxa"/>
            <w:tcBorders>
              <w:bottom w:val="single" w:sz="4" w:space="0" w:color="auto"/>
            </w:tcBorders>
          </w:tcPr>
          <w:p w14:paraId="3148D67A" w14:textId="77777777" w:rsidR="000B1635" w:rsidRPr="000B1635" w:rsidRDefault="000B1635" w:rsidP="000B16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0B1635">
              <w:rPr>
                <w:rFonts w:ascii="Arial" w:hAnsi="Arial" w:cs="Arial"/>
                <w:color w:val="000000" w:themeColor="text1"/>
                <w:sz w:val="24"/>
              </w:rPr>
              <w:t xml:space="preserve">Falls es keine gesonderten Dokumente gibt, erfolgt die Umsetzung im Rahmen der praktischen täglichen Arbeit und fließt dann in die entsprechenden Regelungen ein – es wird kein eigenständiger Punkt im QMH. </w:t>
            </w:r>
          </w:p>
        </w:tc>
      </w:tr>
      <w:tr w:rsidR="000B1635" w:rsidRPr="000B1635" w14:paraId="5FEA96BC" w14:textId="77777777" w:rsidTr="00EB0E40">
        <w:trPr>
          <w:trHeight w:val="122"/>
          <w:jc w:val="center"/>
        </w:trPr>
        <w:tc>
          <w:tcPr>
            <w:tcW w:w="10627" w:type="dxa"/>
            <w:gridSpan w:val="2"/>
            <w:shd w:val="clear" w:color="auto" w:fill="C4EEF4"/>
          </w:tcPr>
          <w:p w14:paraId="35ECFE75" w14:textId="77777777" w:rsidR="000B1635" w:rsidRPr="000B1635" w:rsidRDefault="000B1635" w:rsidP="000B1635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0B1635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Qualitätsbereich 2: Versorgung im Rahmen der individuell vereinbarten Leistungen </w:t>
            </w:r>
          </w:p>
        </w:tc>
      </w:tr>
      <w:tr w:rsidR="000B1635" w:rsidRPr="000B1635" w14:paraId="020BB7E7" w14:textId="77777777" w:rsidTr="00F5361A">
        <w:trPr>
          <w:trHeight w:val="578"/>
          <w:jc w:val="center"/>
        </w:trPr>
        <w:tc>
          <w:tcPr>
            <w:tcW w:w="2971" w:type="dxa"/>
          </w:tcPr>
          <w:p w14:paraId="45A58808" w14:textId="77777777" w:rsidR="000B1635" w:rsidRPr="000B1635" w:rsidRDefault="000B1635" w:rsidP="000B16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0B1635">
              <w:rPr>
                <w:rFonts w:ascii="Arial" w:hAnsi="Arial" w:cs="Arial"/>
                <w:color w:val="000000" w:themeColor="text1"/>
                <w:sz w:val="24"/>
              </w:rPr>
              <w:t xml:space="preserve">2.1 Unterstützung im Bereich der Mobilität </w:t>
            </w:r>
          </w:p>
        </w:tc>
        <w:tc>
          <w:tcPr>
            <w:tcW w:w="7656" w:type="dxa"/>
          </w:tcPr>
          <w:p w14:paraId="7A607DA9" w14:textId="77777777" w:rsidR="000B1635" w:rsidRPr="000B1635" w:rsidRDefault="000B1635" w:rsidP="000B16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0B1635">
              <w:rPr>
                <w:rFonts w:ascii="Arial" w:hAnsi="Arial" w:cs="Arial"/>
                <w:color w:val="000000" w:themeColor="text1"/>
                <w:sz w:val="24"/>
              </w:rPr>
              <w:t>Formulare, Hilfestellungen, z. B. Screening, Assessment, Infoblätter zu den folgen</w:t>
            </w:r>
            <w:r w:rsidRPr="000B1635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den Expertenstandards: </w:t>
            </w:r>
          </w:p>
          <w:p w14:paraId="62C1A5AB" w14:textId="77777777" w:rsidR="000B1635" w:rsidRPr="000B1635" w:rsidRDefault="000B1635" w:rsidP="00F5361A">
            <w:pPr>
              <w:numPr>
                <w:ilvl w:val="0"/>
                <w:numId w:val="41"/>
              </w:numPr>
              <w:spacing w:before="120" w:after="120"/>
              <w:ind w:left="322" w:hanging="322"/>
              <w:rPr>
                <w:rFonts w:ascii="Arial" w:hAnsi="Arial" w:cs="Arial"/>
                <w:color w:val="000000" w:themeColor="text1"/>
                <w:sz w:val="24"/>
              </w:rPr>
            </w:pPr>
            <w:r w:rsidRPr="000B1635">
              <w:rPr>
                <w:rFonts w:ascii="Arial" w:hAnsi="Arial" w:cs="Arial"/>
                <w:color w:val="000000" w:themeColor="text1"/>
                <w:sz w:val="24"/>
              </w:rPr>
              <w:t xml:space="preserve">Dekubitusprophylaxe in der Pflege </w:t>
            </w:r>
          </w:p>
          <w:p w14:paraId="39FD72E7" w14:textId="77777777" w:rsidR="000B1635" w:rsidRPr="000B1635" w:rsidRDefault="000B1635" w:rsidP="00F5361A">
            <w:pPr>
              <w:numPr>
                <w:ilvl w:val="0"/>
                <w:numId w:val="41"/>
              </w:numPr>
              <w:spacing w:before="120" w:after="120"/>
              <w:ind w:left="322" w:hanging="322"/>
              <w:rPr>
                <w:rFonts w:ascii="Arial" w:hAnsi="Arial" w:cs="Arial"/>
                <w:color w:val="000000" w:themeColor="text1"/>
                <w:sz w:val="24"/>
              </w:rPr>
            </w:pPr>
            <w:r w:rsidRPr="000B1635">
              <w:rPr>
                <w:rFonts w:ascii="Arial" w:hAnsi="Arial" w:cs="Arial"/>
                <w:color w:val="000000" w:themeColor="text1"/>
                <w:sz w:val="24"/>
              </w:rPr>
              <w:t xml:space="preserve">Sturzprophylaxe in der Pflege </w:t>
            </w:r>
          </w:p>
          <w:p w14:paraId="3A76FE6F" w14:textId="2644BB15" w:rsidR="000B1635" w:rsidRPr="000B1635" w:rsidRDefault="000B1635" w:rsidP="00F5361A">
            <w:pPr>
              <w:numPr>
                <w:ilvl w:val="0"/>
                <w:numId w:val="41"/>
              </w:numPr>
              <w:spacing w:before="120" w:after="120"/>
              <w:ind w:left="322" w:hanging="322"/>
              <w:rPr>
                <w:rFonts w:ascii="Arial" w:hAnsi="Arial" w:cs="Arial"/>
                <w:color w:val="000000" w:themeColor="text1"/>
                <w:sz w:val="24"/>
              </w:rPr>
            </w:pPr>
            <w:r w:rsidRPr="000B1635">
              <w:rPr>
                <w:rFonts w:ascii="Arial" w:hAnsi="Arial" w:cs="Arial"/>
                <w:color w:val="000000" w:themeColor="text1"/>
                <w:sz w:val="24"/>
              </w:rPr>
              <w:t xml:space="preserve">Erhaltung und Förderung der Mobilität in der Pflege </w:t>
            </w:r>
          </w:p>
        </w:tc>
      </w:tr>
      <w:tr w:rsidR="000B1635" w:rsidRPr="000B1635" w14:paraId="5AF6776F" w14:textId="77777777" w:rsidTr="00F5361A">
        <w:trPr>
          <w:trHeight w:val="348"/>
          <w:jc w:val="center"/>
        </w:trPr>
        <w:tc>
          <w:tcPr>
            <w:tcW w:w="2971" w:type="dxa"/>
          </w:tcPr>
          <w:p w14:paraId="169AC8A6" w14:textId="77777777" w:rsidR="000B1635" w:rsidRPr="000B1635" w:rsidRDefault="000B1635" w:rsidP="000B16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0B1635">
              <w:rPr>
                <w:rFonts w:ascii="Arial" w:hAnsi="Arial" w:cs="Arial"/>
                <w:color w:val="000000" w:themeColor="text1"/>
                <w:sz w:val="24"/>
              </w:rPr>
              <w:t xml:space="preserve">2.2 Unterstützung bei beeinträchtigter Kognition </w:t>
            </w:r>
          </w:p>
        </w:tc>
        <w:tc>
          <w:tcPr>
            <w:tcW w:w="7656" w:type="dxa"/>
          </w:tcPr>
          <w:p w14:paraId="4CE001A5" w14:textId="77777777" w:rsidR="000B1635" w:rsidRPr="000B1635" w:rsidRDefault="000B1635" w:rsidP="000B16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0B1635">
              <w:rPr>
                <w:rFonts w:ascii="Arial" w:hAnsi="Arial" w:cs="Arial"/>
                <w:color w:val="000000" w:themeColor="text1"/>
                <w:sz w:val="24"/>
              </w:rPr>
              <w:t xml:space="preserve">Konzept Einzelbetreuung </w:t>
            </w:r>
          </w:p>
          <w:p w14:paraId="0718BC24" w14:textId="2B80C5AA" w:rsidR="000B1635" w:rsidRPr="000B1635" w:rsidRDefault="000B1635" w:rsidP="000B16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0B1635">
              <w:rPr>
                <w:rFonts w:ascii="Arial" w:hAnsi="Arial" w:cs="Arial"/>
                <w:color w:val="000000" w:themeColor="text1"/>
                <w:sz w:val="24"/>
              </w:rPr>
              <w:t xml:space="preserve">Formulare, Hilfestellungen, z. B. Risikoeinschätzung, Infoblätter zum Expertenstandard „Beziehungsgestaltung in der Pflege von Menschen mit Demenz“ </w:t>
            </w:r>
          </w:p>
        </w:tc>
      </w:tr>
      <w:tr w:rsidR="000B1635" w:rsidRPr="000B1635" w14:paraId="63B51578" w14:textId="77777777" w:rsidTr="00F5361A">
        <w:trPr>
          <w:trHeight w:val="348"/>
          <w:jc w:val="center"/>
        </w:trPr>
        <w:tc>
          <w:tcPr>
            <w:tcW w:w="2971" w:type="dxa"/>
          </w:tcPr>
          <w:p w14:paraId="3C50CCAB" w14:textId="77777777" w:rsidR="000B1635" w:rsidRPr="000B1635" w:rsidRDefault="000B1635" w:rsidP="000B16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0B1635">
              <w:rPr>
                <w:rFonts w:ascii="Arial" w:hAnsi="Arial" w:cs="Arial"/>
                <w:color w:val="000000" w:themeColor="text1"/>
                <w:sz w:val="24"/>
              </w:rPr>
              <w:t xml:space="preserve">2.3 Unterstützung im Bereich der Kommunikation </w:t>
            </w:r>
          </w:p>
        </w:tc>
        <w:tc>
          <w:tcPr>
            <w:tcW w:w="7656" w:type="dxa"/>
          </w:tcPr>
          <w:p w14:paraId="02C892D1" w14:textId="062BD0D2" w:rsidR="000B1635" w:rsidRPr="000B1635" w:rsidRDefault="000B1635" w:rsidP="000B1635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0B1635">
              <w:rPr>
                <w:rFonts w:ascii="Arial" w:hAnsi="Arial" w:cs="Arial"/>
                <w:color w:val="000000" w:themeColor="text1"/>
                <w:sz w:val="24"/>
              </w:rPr>
              <w:t xml:space="preserve">Falls es keine gesonderten Dokumente gibt, erfolgt die Umsetzung im Rahmen der praktischen täglichen Arbeit und fließt dann in die entsprechenden Regelungen ein – es wird kein eigenständiger Punkt im QMH. </w:t>
            </w:r>
          </w:p>
        </w:tc>
      </w:tr>
      <w:tr w:rsidR="00F5361A" w:rsidRPr="00F5361A" w14:paraId="03C80AF8" w14:textId="77777777" w:rsidTr="00F5361A">
        <w:trPr>
          <w:trHeight w:val="463"/>
          <w:jc w:val="center"/>
        </w:trPr>
        <w:tc>
          <w:tcPr>
            <w:tcW w:w="2971" w:type="dxa"/>
          </w:tcPr>
          <w:p w14:paraId="64F0D24A" w14:textId="3D917AFA" w:rsidR="00F5361A" w:rsidRPr="00F5361A" w:rsidRDefault="00F5361A" w:rsidP="00F5361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color w:val="000000" w:themeColor="text1"/>
                <w:sz w:val="24"/>
              </w:rPr>
              <w:t xml:space="preserve">2.4 Unterstützung bei Verhaltensauffälligkeiten und psychischen Problemlagen </w:t>
            </w:r>
          </w:p>
        </w:tc>
        <w:tc>
          <w:tcPr>
            <w:tcW w:w="7656" w:type="dxa"/>
          </w:tcPr>
          <w:p w14:paraId="05C03EC6" w14:textId="77777777" w:rsidR="00F5361A" w:rsidRPr="00F5361A" w:rsidRDefault="00F5361A" w:rsidP="00F5361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color w:val="000000" w:themeColor="text1"/>
                <w:sz w:val="24"/>
              </w:rPr>
              <w:t xml:space="preserve">Verfahrensregelungen z. B. zum Umgang mit: </w:t>
            </w:r>
          </w:p>
          <w:p w14:paraId="3B34D5E5" w14:textId="77777777" w:rsidR="00F5361A" w:rsidRPr="00F5361A" w:rsidRDefault="00F5361A" w:rsidP="00F5361A">
            <w:pPr>
              <w:numPr>
                <w:ilvl w:val="0"/>
                <w:numId w:val="41"/>
              </w:numPr>
              <w:spacing w:before="120" w:after="120"/>
              <w:ind w:left="322" w:hanging="322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color w:val="000000" w:themeColor="text1"/>
                <w:sz w:val="24"/>
              </w:rPr>
              <w:t xml:space="preserve">aggressivem Verhalten </w:t>
            </w:r>
          </w:p>
          <w:p w14:paraId="74FE9338" w14:textId="77777777" w:rsidR="00F5361A" w:rsidRPr="00F5361A" w:rsidRDefault="00F5361A" w:rsidP="00F5361A">
            <w:pPr>
              <w:numPr>
                <w:ilvl w:val="0"/>
                <w:numId w:val="41"/>
              </w:numPr>
              <w:spacing w:before="120" w:after="120"/>
              <w:ind w:left="322" w:hanging="322"/>
              <w:rPr>
                <w:rFonts w:ascii="Arial" w:hAnsi="Arial" w:cs="Arial"/>
                <w:color w:val="000000" w:themeColor="text1"/>
                <w:sz w:val="24"/>
              </w:rPr>
            </w:pPr>
            <w:proofErr w:type="spellStart"/>
            <w:r w:rsidRPr="00F5361A">
              <w:rPr>
                <w:rFonts w:ascii="Arial" w:hAnsi="Arial" w:cs="Arial"/>
                <w:color w:val="000000" w:themeColor="text1"/>
                <w:sz w:val="24"/>
              </w:rPr>
              <w:t>Hinlauftendenzen</w:t>
            </w:r>
            <w:proofErr w:type="spellEnd"/>
            <w:r w:rsidRPr="00F5361A"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</w:p>
          <w:p w14:paraId="1B721CD0" w14:textId="1133F28D" w:rsidR="00F5361A" w:rsidRPr="00F5361A" w:rsidRDefault="00F5361A" w:rsidP="00F5361A">
            <w:pPr>
              <w:numPr>
                <w:ilvl w:val="0"/>
                <w:numId w:val="41"/>
              </w:numPr>
              <w:spacing w:before="120" w:after="120"/>
              <w:ind w:left="322" w:hanging="322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color w:val="000000" w:themeColor="text1"/>
                <w:sz w:val="24"/>
              </w:rPr>
              <w:t xml:space="preserve">Störungen in der Kognition oder Orientierung </w:t>
            </w:r>
          </w:p>
        </w:tc>
      </w:tr>
      <w:tr w:rsidR="00F5361A" w:rsidRPr="00F5361A" w14:paraId="3AB7E5F6" w14:textId="77777777" w:rsidTr="00F5361A">
        <w:trPr>
          <w:trHeight w:val="463"/>
          <w:jc w:val="center"/>
        </w:trPr>
        <w:tc>
          <w:tcPr>
            <w:tcW w:w="2971" w:type="dxa"/>
          </w:tcPr>
          <w:p w14:paraId="2C59706F" w14:textId="77777777" w:rsidR="00F5361A" w:rsidRPr="00F5361A" w:rsidRDefault="00F5361A" w:rsidP="00F5361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color w:val="000000" w:themeColor="text1"/>
                <w:sz w:val="24"/>
              </w:rPr>
              <w:lastRenderedPageBreak/>
              <w:t xml:space="preserve">2.5 Unterstützung bei der Körperpflege </w:t>
            </w:r>
          </w:p>
        </w:tc>
        <w:tc>
          <w:tcPr>
            <w:tcW w:w="7656" w:type="dxa"/>
          </w:tcPr>
          <w:p w14:paraId="7E3B2FD5" w14:textId="77777777" w:rsidR="00F5361A" w:rsidRPr="00F5361A" w:rsidRDefault="00F5361A" w:rsidP="00F5361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color w:val="000000" w:themeColor="text1"/>
                <w:sz w:val="24"/>
              </w:rPr>
              <w:t xml:space="preserve">Formulare, Hilfestellungen, z. B. Risikoeinschätzung, Infoblätter zu den folgenden Expertenstandards: </w:t>
            </w:r>
          </w:p>
          <w:p w14:paraId="3FA6F298" w14:textId="77777777" w:rsidR="00F5361A" w:rsidRPr="00F5361A" w:rsidRDefault="00F5361A" w:rsidP="00F5361A">
            <w:pPr>
              <w:numPr>
                <w:ilvl w:val="0"/>
                <w:numId w:val="41"/>
              </w:numPr>
              <w:spacing w:before="120" w:after="120"/>
              <w:ind w:left="322" w:hanging="322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color w:val="000000" w:themeColor="text1"/>
                <w:sz w:val="24"/>
              </w:rPr>
              <w:t xml:space="preserve">„Förderung und Erhaltung der Hautintegrität in der Pflege“ </w:t>
            </w:r>
          </w:p>
          <w:p w14:paraId="0812223B" w14:textId="49886EA3" w:rsidR="00F5361A" w:rsidRPr="00F5361A" w:rsidRDefault="00F5361A" w:rsidP="00F5361A">
            <w:pPr>
              <w:numPr>
                <w:ilvl w:val="0"/>
                <w:numId w:val="41"/>
              </w:numPr>
              <w:spacing w:before="120" w:after="120"/>
              <w:ind w:left="322" w:hanging="322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color w:val="000000" w:themeColor="text1"/>
                <w:sz w:val="24"/>
              </w:rPr>
              <w:t xml:space="preserve">„Förderung der Mundgesundheit in der Pflege“ </w:t>
            </w:r>
          </w:p>
        </w:tc>
      </w:tr>
      <w:tr w:rsidR="00F5361A" w:rsidRPr="00F5361A" w14:paraId="4EBBF39A" w14:textId="77777777" w:rsidTr="00F5361A">
        <w:trPr>
          <w:trHeight w:val="693"/>
          <w:jc w:val="center"/>
        </w:trPr>
        <w:tc>
          <w:tcPr>
            <w:tcW w:w="2971" w:type="dxa"/>
          </w:tcPr>
          <w:p w14:paraId="3BFDE580" w14:textId="77777777" w:rsidR="00F5361A" w:rsidRPr="00F5361A" w:rsidRDefault="00F5361A" w:rsidP="00F5361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color w:val="000000" w:themeColor="text1"/>
                <w:sz w:val="24"/>
              </w:rPr>
              <w:t xml:space="preserve">2.6 Unterstützung bei der Nahrungs-und Flüssigkeitsaufnahme </w:t>
            </w:r>
          </w:p>
        </w:tc>
        <w:tc>
          <w:tcPr>
            <w:tcW w:w="7656" w:type="dxa"/>
          </w:tcPr>
          <w:p w14:paraId="165A3393" w14:textId="48A4649E" w:rsidR="00F5361A" w:rsidRPr="00F5361A" w:rsidRDefault="00F5361A" w:rsidP="00F5361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color w:val="000000" w:themeColor="text1"/>
                <w:sz w:val="24"/>
              </w:rPr>
              <w:t xml:space="preserve">Formulare, Hilfestellungen, z. B. Risikoeinschätzung, Infoblätter zum Expertenstandard „Ernährungsmanagement zur Sicherung und Förderung der oralen Ernährung in der Pflege“ </w:t>
            </w:r>
          </w:p>
          <w:p w14:paraId="1D793A3D" w14:textId="77777777" w:rsidR="00F5361A" w:rsidRPr="00F5361A" w:rsidRDefault="00F5361A" w:rsidP="00F5361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color w:val="000000" w:themeColor="text1"/>
                <w:sz w:val="24"/>
              </w:rPr>
              <w:t xml:space="preserve">Regelungen, Formulare, Hilfestellungen, z. B. Risikoeinschätzung, Infoblätter zur </w:t>
            </w:r>
            <w:proofErr w:type="spellStart"/>
            <w:r w:rsidRPr="00F5361A">
              <w:rPr>
                <w:rFonts w:ascii="Arial" w:hAnsi="Arial" w:cs="Arial"/>
                <w:color w:val="000000" w:themeColor="text1"/>
                <w:sz w:val="24"/>
              </w:rPr>
              <w:t>Exsikkoseprophylaxe</w:t>
            </w:r>
            <w:proofErr w:type="spellEnd"/>
            <w:r w:rsidRPr="00F5361A"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</w:p>
        </w:tc>
      </w:tr>
      <w:tr w:rsidR="00F5361A" w:rsidRPr="00F5361A" w14:paraId="1A5ECEC1" w14:textId="77777777" w:rsidTr="00F5361A">
        <w:trPr>
          <w:trHeight w:val="233"/>
          <w:jc w:val="center"/>
        </w:trPr>
        <w:tc>
          <w:tcPr>
            <w:tcW w:w="2971" w:type="dxa"/>
          </w:tcPr>
          <w:p w14:paraId="1B7D32B0" w14:textId="77777777" w:rsidR="00F5361A" w:rsidRPr="00F5361A" w:rsidRDefault="00F5361A" w:rsidP="00F5361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color w:val="000000" w:themeColor="text1"/>
                <w:sz w:val="24"/>
              </w:rPr>
              <w:t xml:space="preserve">2.7 Unterstützung bei der Ausscheidung </w:t>
            </w:r>
          </w:p>
        </w:tc>
        <w:tc>
          <w:tcPr>
            <w:tcW w:w="7656" w:type="dxa"/>
          </w:tcPr>
          <w:p w14:paraId="2D0E5850" w14:textId="6899CADE" w:rsidR="00F5361A" w:rsidRPr="00F5361A" w:rsidRDefault="00F5361A" w:rsidP="00F5361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color w:val="000000" w:themeColor="text1"/>
                <w:sz w:val="24"/>
              </w:rPr>
              <w:t>Formulare, Hilfestellungen, z. B. Risikoeinschätzung, Infoblätter zum Expertenstandard „</w:t>
            </w:r>
            <w:proofErr w:type="spellStart"/>
            <w:r w:rsidRPr="00F5361A">
              <w:rPr>
                <w:rFonts w:ascii="Arial" w:hAnsi="Arial" w:cs="Arial"/>
                <w:color w:val="000000" w:themeColor="text1"/>
                <w:sz w:val="24"/>
              </w:rPr>
              <w:t>Kontinenzförderung</w:t>
            </w:r>
            <w:proofErr w:type="spellEnd"/>
            <w:r w:rsidRPr="00F5361A">
              <w:rPr>
                <w:rFonts w:ascii="Arial" w:hAnsi="Arial" w:cs="Arial"/>
                <w:color w:val="000000" w:themeColor="text1"/>
                <w:sz w:val="24"/>
              </w:rPr>
              <w:t xml:space="preserve"> in der Pflege“ </w:t>
            </w:r>
          </w:p>
        </w:tc>
      </w:tr>
      <w:tr w:rsidR="00F5361A" w:rsidRPr="00F5361A" w14:paraId="41781DB5" w14:textId="77777777" w:rsidTr="00F5361A">
        <w:trPr>
          <w:trHeight w:val="463"/>
          <w:jc w:val="center"/>
        </w:trPr>
        <w:tc>
          <w:tcPr>
            <w:tcW w:w="2971" w:type="dxa"/>
          </w:tcPr>
          <w:p w14:paraId="422E85D9" w14:textId="77777777" w:rsidR="00F5361A" w:rsidRPr="00F5361A" w:rsidRDefault="00F5361A" w:rsidP="00F5361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color w:val="000000" w:themeColor="text1"/>
                <w:sz w:val="24"/>
              </w:rPr>
              <w:t xml:space="preserve">2.8 Unterstützung bei der Gestaltung des Alltagslebens sowie bei der Aufrechterhaltung und Förderung sozialer Kontakte </w:t>
            </w:r>
          </w:p>
        </w:tc>
        <w:tc>
          <w:tcPr>
            <w:tcW w:w="7656" w:type="dxa"/>
          </w:tcPr>
          <w:p w14:paraId="0DD1B778" w14:textId="77777777" w:rsidR="00F5361A" w:rsidRPr="00F5361A" w:rsidRDefault="00F5361A" w:rsidP="00F5361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color w:val="000000" w:themeColor="text1"/>
                <w:sz w:val="24"/>
              </w:rPr>
              <w:t xml:space="preserve">Falls es keine gesonderten Dokumente gibt, erfolgt die Umsetzung im Rahmen der praktischen täglichen Arbeit und fließt dann in die entsprechenden Regelungen ein – es wird kein eigenständiger Punkt im QMH. </w:t>
            </w:r>
          </w:p>
        </w:tc>
      </w:tr>
      <w:tr w:rsidR="00F5361A" w:rsidRPr="00F5361A" w14:paraId="11B7EA85" w14:textId="77777777" w:rsidTr="00F5361A">
        <w:trPr>
          <w:trHeight w:val="463"/>
          <w:jc w:val="center"/>
        </w:trPr>
        <w:tc>
          <w:tcPr>
            <w:tcW w:w="2971" w:type="dxa"/>
          </w:tcPr>
          <w:p w14:paraId="38187B8D" w14:textId="77777777" w:rsidR="00F5361A" w:rsidRPr="00F5361A" w:rsidRDefault="00F5361A" w:rsidP="00F5361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color w:val="000000" w:themeColor="text1"/>
                <w:sz w:val="24"/>
              </w:rPr>
              <w:t xml:space="preserve">2.9 Anleitung und Beratung pflegender An- und Zugehöriger zur Verbesserung der Pflegekompetenz </w:t>
            </w:r>
          </w:p>
        </w:tc>
        <w:tc>
          <w:tcPr>
            <w:tcW w:w="7656" w:type="dxa"/>
          </w:tcPr>
          <w:p w14:paraId="630A6C7E" w14:textId="77777777" w:rsidR="00F5361A" w:rsidRPr="00F5361A" w:rsidRDefault="00F5361A" w:rsidP="00F5361A">
            <w:pPr>
              <w:numPr>
                <w:ilvl w:val="0"/>
                <w:numId w:val="41"/>
              </w:numPr>
              <w:spacing w:before="120" w:after="120"/>
              <w:ind w:left="322" w:hanging="322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color w:val="000000" w:themeColor="text1"/>
                <w:sz w:val="24"/>
              </w:rPr>
              <w:t xml:space="preserve">Verfahrensregelung, Konzept und Protokoll zur Beratung und Anleitung der Pflegekunden </w:t>
            </w:r>
          </w:p>
          <w:p w14:paraId="38D3001B" w14:textId="25592C38" w:rsidR="00F5361A" w:rsidRPr="00F5361A" w:rsidRDefault="00F5361A" w:rsidP="00F5361A">
            <w:pPr>
              <w:numPr>
                <w:ilvl w:val="0"/>
                <w:numId w:val="41"/>
              </w:numPr>
              <w:spacing w:before="120" w:after="120"/>
              <w:ind w:left="322" w:hanging="322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color w:val="000000" w:themeColor="text1"/>
                <w:sz w:val="24"/>
              </w:rPr>
              <w:t xml:space="preserve">Verfahrensregelung, Konzept und Checkliste für Beratungsbesuche nach § 37 Abs. 3 SGB XI </w:t>
            </w:r>
          </w:p>
        </w:tc>
      </w:tr>
      <w:tr w:rsidR="00F5361A" w:rsidRPr="00F5361A" w14:paraId="4060C506" w14:textId="77777777" w:rsidTr="00EB0E40">
        <w:trPr>
          <w:trHeight w:val="348"/>
          <w:jc w:val="center"/>
        </w:trPr>
        <w:tc>
          <w:tcPr>
            <w:tcW w:w="2971" w:type="dxa"/>
            <w:tcBorders>
              <w:bottom w:val="single" w:sz="4" w:space="0" w:color="auto"/>
            </w:tcBorders>
          </w:tcPr>
          <w:p w14:paraId="57ACBA92" w14:textId="77777777" w:rsidR="00F5361A" w:rsidRPr="00F5361A" w:rsidRDefault="00F5361A" w:rsidP="00F5361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color w:val="000000" w:themeColor="text1"/>
                <w:sz w:val="24"/>
              </w:rPr>
              <w:t xml:space="preserve">2.10 Anleitung und Beratung der versorgten Person zur Verbesserung der Selbstpflegekompetenz </w:t>
            </w:r>
          </w:p>
        </w:tc>
        <w:tc>
          <w:tcPr>
            <w:tcW w:w="7656" w:type="dxa"/>
            <w:tcBorders>
              <w:bottom w:val="single" w:sz="4" w:space="0" w:color="auto"/>
            </w:tcBorders>
          </w:tcPr>
          <w:p w14:paraId="187E4D1B" w14:textId="77777777" w:rsidR="00F5361A" w:rsidRPr="00F5361A" w:rsidRDefault="00F5361A" w:rsidP="00F5361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color w:val="000000" w:themeColor="text1"/>
                <w:sz w:val="24"/>
              </w:rPr>
              <w:t xml:space="preserve">Falls es keine gesonderten Dokumente gibt, erfolgt die Umsetzung im Rahmen der praktischen täglichen Arbeit und fließt dann in die entsprechenden Regelungen ein – es wird kein eigenständiger Punkt im QMH. </w:t>
            </w:r>
          </w:p>
        </w:tc>
      </w:tr>
      <w:tr w:rsidR="00F5361A" w:rsidRPr="00F5361A" w14:paraId="700C749A" w14:textId="77777777" w:rsidTr="00EB0E40">
        <w:trPr>
          <w:trHeight w:val="122"/>
          <w:jc w:val="center"/>
        </w:trPr>
        <w:tc>
          <w:tcPr>
            <w:tcW w:w="10627" w:type="dxa"/>
            <w:gridSpan w:val="2"/>
            <w:shd w:val="clear" w:color="auto" w:fill="C4EEF4"/>
          </w:tcPr>
          <w:p w14:paraId="5B734434" w14:textId="77777777" w:rsidR="00F5361A" w:rsidRPr="00F5361A" w:rsidRDefault="00F5361A" w:rsidP="00F5361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Qualitätsbereich 3: Maßnahmen im Rahmen ärztlich verordneter Leistungen </w:t>
            </w:r>
          </w:p>
        </w:tc>
      </w:tr>
      <w:tr w:rsidR="00F5361A" w:rsidRPr="00F5361A" w14:paraId="2F3F47BB" w14:textId="77777777" w:rsidTr="00F5361A">
        <w:trPr>
          <w:trHeight w:val="463"/>
          <w:jc w:val="center"/>
        </w:trPr>
        <w:tc>
          <w:tcPr>
            <w:tcW w:w="10627" w:type="dxa"/>
            <w:gridSpan w:val="2"/>
          </w:tcPr>
          <w:p w14:paraId="05DF262E" w14:textId="77777777" w:rsidR="00F5361A" w:rsidRPr="00F5361A" w:rsidRDefault="00F5361A" w:rsidP="00F5361A">
            <w:pPr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color w:val="000000" w:themeColor="text1"/>
                <w:sz w:val="24"/>
              </w:rPr>
              <w:t xml:space="preserve">falls vorhanden: Verfahrensregelungen zu einzelnen Behandlungspflegemaßnahmen, z. B. Umgang mit Medikamenten, Kompressionstherapie, Injektionen </w:t>
            </w:r>
          </w:p>
          <w:p w14:paraId="0D41C56B" w14:textId="639E2496" w:rsidR="00F5361A" w:rsidRPr="00F5361A" w:rsidRDefault="00F5361A" w:rsidP="00F5361A">
            <w:pPr>
              <w:numPr>
                <w:ilvl w:val="0"/>
                <w:numId w:val="40"/>
              </w:num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color w:val="000000" w:themeColor="text1"/>
                <w:sz w:val="24"/>
              </w:rPr>
              <w:t xml:space="preserve">Formulare, Hilfestellungen, z. B. Risikoeinschätzung, Infoblätter zu den Expertenstandards „Schmerzmanagement in der Pflege“ und „Pflege von Menschen mit chronischen Wunden“ </w:t>
            </w:r>
          </w:p>
        </w:tc>
      </w:tr>
    </w:tbl>
    <w:p w14:paraId="345EA6C3" w14:textId="77777777" w:rsidR="00F5361A" w:rsidRDefault="00F5361A" w:rsidP="000B1635">
      <w:pPr>
        <w:spacing w:before="120" w:after="120"/>
        <w:rPr>
          <w:rFonts w:ascii="Arial" w:hAnsi="Arial" w:cs="Arial"/>
          <w:color w:val="000000" w:themeColor="text1"/>
          <w:sz w:val="24"/>
        </w:rPr>
      </w:pPr>
    </w:p>
    <w:p w14:paraId="5896EA4D" w14:textId="77777777" w:rsidR="00F5361A" w:rsidRDefault="00F5361A" w:rsidP="000B1635">
      <w:pPr>
        <w:spacing w:before="120" w:after="120"/>
        <w:rPr>
          <w:rFonts w:ascii="Arial" w:hAnsi="Arial" w:cs="Arial"/>
          <w:color w:val="000000" w:themeColor="text1"/>
          <w:sz w:val="24"/>
        </w:rPr>
        <w:sectPr w:rsidR="00F5361A" w:rsidSect="00F5361A">
          <w:headerReference w:type="default" r:id="rId8"/>
          <w:pgSz w:w="11906" w:h="16838" w:code="9"/>
          <w:pgMar w:top="-1134" w:right="1418" w:bottom="426" w:left="1418" w:header="709" w:footer="709" w:gutter="0"/>
          <w:cols w:space="708"/>
          <w:docGrid w:linePitch="360"/>
        </w:sect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1"/>
        <w:gridCol w:w="7656"/>
      </w:tblGrid>
      <w:tr w:rsidR="00F5361A" w:rsidRPr="00F5361A" w14:paraId="2CDFF5CF" w14:textId="77777777" w:rsidTr="00EB0E40">
        <w:trPr>
          <w:trHeight w:val="122"/>
          <w:jc w:val="center"/>
        </w:trPr>
        <w:tc>
          <w:tcPr>
            <w:tcW w:w="10627" w:type="dxa"/>
            <w:gridSpan w:val="2"/>
            <w:shd w:val="clear" w:color="auto" w:fill="C4EEF4"/>
          </w:tcPr>
          <w:p w14:paraId="3CF562E6" w14:textId="77777777" w:rsidR="00F5361A" w:rsidRPr="00F5361A" w:rsidRDefault="00F5361A" w:rsidP="00D41AC4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lastRenderedPageBreak/>
              <w:t xml:space="preserve">Qualitätsbereich 4: Sonstige Qualitätsaspekte in der personenbezogenen Prüfung </w:t>
            </w:r>
          </w:p>
        </w:tc>
      </w:tr>
      <w:tr w:rsidR="00F5361A" w:rsidRPr="00F5361A" w14:paraId="312248C2" w14:textId="77777777" w:rsidTr="00D41AC4">
        <w:trPr>
          <w:trHeight w:val="348"/>
          <w:jc w:val="center"/>
        </w:trPr>
        <w:tc>
          <w:tcPr>
            <w:tcW w:w="2971" w:type="dxa"/>
          </w:tcPr>
          <w:p w14:paraId="26E5E164" w14:textId="77777777" w:rsidR="00F5361A" w:rsidRPr="00F5361A" w:rsidRDefault="00F5361A" w:rsidP="00D41AC4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color w:val="000000" w:themeColor="text1"/>
                <w:sz w:val="24"/>
              </w:rPr>
              <w:t xml:space="preserve">4.1 Zusammenarbeit mit An- und Zugehörigen </w:t>
            </w:r>
          </w:p>
        </w:tc>
        <w:tc>
          <w:tcPr>
            <w:tcW w:w="7656" w:type="dxa"/>
          </w:tcPr>
          <w:p w14:paraId="5C046EFA" w14:textId="77777777" w:rsidR="00F5361A" w:rsidRPr="00F5361A" w:rsidRDefault="00F5361A" w:rsidP="00D41AC4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color w:val="000000" w:themeColor="text1"/>
                <w:sz w:val="24"/>
              </w:rPr>
              <w:t xml:space="preserve">Falls es keine gesonderten Dokumente gibt, erfolgt die Umsetzung im Rahmen der praktischen täglichen Arbeit und fließt dann in die entsprechenden Regelungen ein – es wird kein eigenständiger Punkt im QMH. </w:t>
            </w:r>
          </w:p>
        </w:tc>
      </w:tr>
      <w:tr w:rsidR="00F5361A" w:rsidRPr="00F5361A" w14:paraId="18B06A95" w14:textId="77777777" w:rsidTr="00EB0E40">
        <w:trPr>
          <w:trHeight w:val="348"/>
          <w:jc w:val="center"/>
        </w:trPr>
        <w:tc>
          <w:tcPr>
            <w:tcW w:w="2971" w:type="dxa"/>
            <w:tcBorders>
              <w:bottom w:val="single" w:sz="4" w:space="0" w:color="auto"/>
            </w:tcBorders>
          </w:tcPr>
          <w:p w14:paraId="0B4E0F73" w14:textId="77777777" w:rsidR="00F5361A" w:rsidRPr="00F5361A" w:rsidRDefault="00F5361A" w:rsidP="00D41AC4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color w:val="000000" w:themeColor="text1"/>
                <w:sz w:val="24"/>
              </w:rPr>
              <w:t xml:space="preserve">4.2 Erfassung von und Reaktion auf Anzeichen von Gewalt, Vernachlässigung, Unterversorgung </w:t>
            </w:r>
          </w:p>
        </w:tc>
        <w:tc>
          <w:tcPr>
            <w:tcW w:w="7656" w:type="dxa"/>
            <w:tcBorders>
              <w:bottom w:val="single" w:sz="4" w:space="0" w:color="auto"/>
            </w:tcBorders>
          </w:tcPr>
          <w:p w14:paraId="4CB36181" w14:textId="6F08850E" w:rsidR="00F5361A" w:rsidRPr="00F5361A" w:rsidRDefault="00F5361A" w:rsidP="00D41AC4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color w:val="000000" w:themeColor="text1"/>
                <w:sz w:val="24"/>
              </w:rPr>
              <w:t xml:space="preserve">Verfahrensregelungen oder Konzepte z. B. zum Umgang mit Gewalt oder Unterversorgung </w:t>
            </w:r>
          </w:p>
        </w:tc>
      </w:tr>
      <w:tr w:rsidR="00F5361A" w:rsidRPr="00F5361A" w14:paraId="6108CCD7" w14:textId="77777777" w:rsidTr="00EB0E40">
        <w:trPr>
          <w:trHeight w:val="122"/>
          <w:jc w:val="center"/>
        </w:trPr>
        <w:tc>
          <w:tcPr>
            <w:tcW w:w="10627" w:type="dxa"/>
            <w:gridSpan w:val="2"/>
            <w:shd w:val="clear" w:color="auto" w:fill="C4EEF4"/>
          </w:tcPr>
          <w:p w14:paraId="42F58C01" w14:textId="77777777" w:rsidR="00F5361A" w:rsidRPr="00F5361A" w:rsidRDefault="00F5361A" w:rsidP="00D41AC4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Qualitätsbereich 5: Qualitätsmanagement und Hygiene </w:t>
            </w:r>
          </w:p>
        </w:tc>
      </w:tr>
      <w:tr w:rsidR="00F5361A" w:rsidRPr="00F5361A" w14:paraId="7221EF0C" w14:textId="77777777" w:rsidTr="00D41AC4">
        <w:trPr>
          <w:trHeight w:val="578"/>
          <w:jc w:val="center"/>
        </w:trPr>
        <w:tc>
          <w:tcPr>
            <w:tcW w:w="2971" w:type="dxa"/>
          </w:tcPr>
          <w:p w14:paraId="29A74313" w14:textId="77777777" w:rsidR="00F5361A" w:rsidRPr="00F5361A" w:rsidRDefault="00F5361A" w:rsidP="00D41AC4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color w:val="000000" w:themeColor="text1"/>
                <w:sz w:val="24"/>
              </w:rPr>
              <w:t xml:space="preserve">5.1 Internes Qualitätsmanagement und Behebung von Qualitätsdefiziten </w:t>
            </w:r>
          </w:p>
        </w:tc>
        <w:tc>
          <w:tcPr>
            <w:tcW w:w="7656" w:type="dxa"/>
          </w:tcPr>
          <w:p w14:paraId="10C50A1F" w14:textId="5F67F36C" w:rsidR="00F5361A" w:rsidRPr="00F5361A" w:rsidRDefault="00F5361A" w:rsidP="00D41AC4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color w:val="000000" w:themeColor="text1"/>
                <w:sz w:val="24"/>
              </w:rPr>
              <w:t xml:space="preserve">Unter diesem Punkt kann eine Vielzahl von Unterlagen strukturiert werden, z. B. Leitbild, Pflegekonzept, Organigramm, Beschreibung von Pflegeprozess und Strukturmodell, PDCA-Zyklus, Qualitätszirkel, Regelungen zum externen Qualitätsmanagement, Einarbeitung, Stellenbeschreibungen, Handzeichenliste, Umgang mit Schlüsseln. </w:t>
            </w:r>
          </w:p>
        </w:tc>
      </w:tr>
      <w:tr w:rsidR="00F5361A" w:rsidRPr="00F5361A" w14:paraId="2006A967" w14:textId="77777777" w:rsidTr="00D41AC4">
        <w:trPr>
          <w:trHeight w:val="233"/>
          <w:jc w:val="center"/>
        </w:trPr>
        <w:tc>
          <w:tcPr>
            <w:tcW w:w="2971" w:type="dxa"/>
          </w:tcPr>
          <w:p w14:paraId="1ADC8A82" w14:textId="77777777" w:rsidR="00F5361A" w:rsidRPr="00F5361A" w:rsidRDefault="00F5361A" w:rsidP="00D41AC4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color w:val="000000" w:themeColor="text1"/>
                <w:sz w:val="24"/>
              </w:rPr>
              <w:t xml:space="preserve">5.2 Hygiene </w:t>
            </w:r>
          </w:p>
        </w:tc>
        <w:tc>
          <w:tcPr>
            <w:tcW w:w="7656" w:type="dxa"/>
          </w:tcPr>
          <w:p w14:paraId="19BA6D7A" w14:textId="77777777" w:rsidR="00F5361A" w:rsidRPr="00F5361A" w:rsidRDefault="00F5361A" w:rsidP="00D41AC4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color w:val="000000" w:themeColor="text1"/>
                <w:sz w:val="24"/>
              </w:rPr>
              <w:t xml:space="preserve">Unter diesem Punkt kann eine Vielzahl von Unterlagen strukturiert werden, z. B. Hygieneplan, Umgang mit MRSA o. Ä. Viren, RKI-Empfehlungen. </w:t>
            </w:r>
          </w:p>
        </w:tc>
      </w:tr>
      <w:tr w:rsidR="00F5361A" w:rsidRPr="00F5361A" w14:paraId="59ABAB58" w14:textId="77777777" w:rsidTr="00D41AC4">
        <w:trPr>
          <w:trHeight w:val="348"/>
          <w:jc w:val="center"/>
        </w:trPr>
        <w:tc>
          <w:tcPr>
            <w:tcW w:w="2971" w:type="dxa"/>
          </w:tcPr>
          <w:p w14:paraId="3A9DA438" w14:textId="77777777" w:rsidR="00F5361A" w:rsidRPr="00F5361A" w:rsidRDefault="00F5361A" w:rsidP="00D41AC4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color w:val="000000" w:themeColor="text1"/>
                <w:sz w:val="24"/>
              </w:rPr>
              <w:t xml:space="preserve">5.3 Qualifikation und Aufgabenwahrnehmung der Verantwortlichen Pflegefachperson </w:t>
            </w:r>
          </w:p>
        </w:tc>
        <w:tc>
          <w:tcPr>
            <w:tcW w:w="7656" w:type="dxa"/>
          </w:tcPr>
          <w:p w14:paraId="4CB1BCFA" w14:textId="77777777" w:rsidR="00F5361A" w:rsidRPr="00F5361A" w:rsidRDefault="00F5361A" w:rsidP="00D41AC4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color w:val="000000" w:themeColor="text1"/>
                <w:sz w:val="24"/>
              </w:rPr>
              <w:t xml:space="preserve">Unter diesen Punkt kann eine Vielzahl von Unterlagen strukturiert werden, z. B. Fortbildungskonzept und -plan, Dienst-, Tourenpläne, Beschwerdemanagement, Mitarbeitervisite. </w:t>
            </w:r>
          </w:p>
        </w:tc>
      </w:tr>
      <w:tr w:rsidR="00F5361A" w:rsidRPr="00F5361A" w14:paraId="0D3B6523" w14:textId="77777777" w:rsidTr="00D41AC4">
        <w:trPr>
          <w:trHeight w:val="235"/>
          <w:jc w:val="center"/>
        </w:trPr>
        <w:tc>
          <w:tcPr>
            <w:tcW w:w="10627" w:type="dxa"/>
            <w:gridSpan w:val="2"/>
          </w:tcPr>
          <w:p w14:paraId="29D937B8" w14:textId="77777777" w:rsidR="00F5361A" w:rsidRPr="00F5361A" w:rsidRDefault="00F5361A" w:rsidP="00D41AC4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F5361A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 xml:space="preserve">Sonstiges: </w:t>
            </w:r>
            <w:r w:rsidRPr="00F5361A">
              <w:rPr>
                <w:rFonts w:ascii="Arial" w:hAnsi="Arial" w:cs="Arial"/>
                <w:color w:val="000000" w:themeColor="text1"/>
                <w:sz w:val="24"/>
              </w:rPr>
              <w:t>Unter diesem Punkt können Sie alle Unterlagen strukturieren, die nicht in die o. g. Struktur passen, aber auch nicht entfallen können.</w:t>
            </w:r>
          </w:p>
        </w:tc>
      </w:tr>
    </w:tbl>
    <w:p w14:paraId="1EF5D91D" w14:textId="77777777" w:rsidR="00F5361A" w:rsidRPr="000B1635" w:rsidRDefault="00F5361A" w:rsidP="000B1635">
      <w:pPr>
        <w:spacing w:before="120" w:after="120"/>
        <w:rPr>
          <w:rFonts w:ascii="Arial" w:hAnsi="Arial" w:cs="Arial"/>
          <w:color w:val="000000" w:themeColor="text1"/>
          <w:sz w:val="24"/>
        </w:rPr>
      </w:pPr>
    </w:p>
    <w:sectPr w:rsidR="00F5361A" w:rsidRPr="000B1635" w:rsidSect="00F5361A">
      <w:headerReference w:type="default" r:id="rId9"/>
      <w:pgSz w:w="11906" w:h="16838" w:code="9"/>
      <w:pgMar w:top="-1134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811EE86" w14:textId="77777777" w:rsidR="008B429C" w:rsidRDefault="008B429C" w:rsidP="002A5D13">
      <w:pPr>
        <w:spacing w:after="0" w:line="240" w:lineRule="auto"/>
      </w:pPr>
      <w:r>
        <w:separator/>
      </w:r>
    </w:p>
  </w:endnote>
  <w:endnote w:type="continuationSeparator" w:id="0">
    <w:p w14:paraId="40711A41" w14:textId="77777777" w:rsidR="008B429C" w:rsidRDefault="008B429C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fa Rotis Semisans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E18D748" w14:textId="77777777" w:rsidR="008B429C" w:rsidRDefault="008B429C" w:rsidP="002A5D13">
      <w:pPr>
        <w:spacing w:after="0" w:line="240" w:lineRule="auto"/>
      </w:pPr>
      <w:r>
        <w:separator/>
      </w:r>
    </w:p>
  </w:footnote>
  <w:footnote w:type="continuationSeparator" w:id="0">
    <w:p w14:paraId="438DCCF5" w14:textId="77777777" w:rsidR="008B429C" w:rsidRDefault="008B429C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5000" w:type="pct"/>
      <w:tblBorders>
        <w:bottom w:val="single" w:sz="4" w:space="0" w:color="0099CC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2E30AA29" w14:textId="77777777" w:rsidTr="00E028D9">
      <w:tc>
        <w:tcPr>
          <w:tcW w:w="1500" w:type="pct"/>
          <w:shd w:val="clear" w:color="auto" w:fill="0099CC"/>
          <w:vAlign w:val="center"/>
        </w:tcPr>
        <w:p w14:paraId="430CE61E" w14:textId="5540BCB6" w:rsidR="007A7CA7" w:rsidRPr="00E74AD6" w:rsidRDefault="00D97E25" w:rsidP="00D97E25">
          <w:pPr>
            <w:pStyle w:val="Kopfzeile"/>
            <w:jc w:val="center"/>
            <w:rPr>
              <w:b/>
              <w:color w:val="DAEEF3"/>
            </w:rPr>
          </w:pPr>
          <w:r>
            <w:rPr>
              <w:b/>
              <w:color w:val="DAEEF3"/>
              <w:sz w:val="24"/>
            </w:rPr>
            <w:t xml:space="preserve">Ausgabe </w:t>
          </w:r>
          <w:r w:rsidR="008B0724">
            <w:rPr>
              <w:b/>
              <w:color w:val="DAEEF3"/>
              <w:sz w:val="24"/>
            </w:rPr>
            <w:t>16</w:t>
          </w:r>
          <w:r w:rsidR="00A42A0D">
            <w:rPr>
              <w:b/>
              <w:color w:val="DAEEF3"/>
              <w:sz w:val="24"/>
            </w:rPr>
            <w:t xml:space="preserve"> - 20</w:t>
          </w:r>
          <w:r w:rsidR="009000A8">
            <w:rPr>
              <w:b/>
              <w:color w:val="DAEEF3"/>
              <w:sz w:val="24"/>
            </w:rPr>
            <w:t>2</w:t>
          </w:r>
          <w:r w:rsidR="002F41D3">
            <w:rPr>
              <w:b/>
              <w:color w:val="DAEEF3"/>
              <w:sz w:val="24"/>
            </w:rPr>
            <w:t>6</w:t>
          </w:r>
        </w:p>
      </w:tc>
      <w:tc>
        <w:tcPr>
          <w:tcW w:w="4000" w:type="pct"/>
          <w:vAlign w:val="bottom"/>
        </w:tcPr>
        <w:p w14:paraId="60E4E6D0" w14:textId="77777777" w:rsidR="007A7CA7" w:rsidRDefault="008C0D29" w:rsidP="007A7CA7">
          <w:pPr>
            <w:pStyle w:val="Kopfzeile"/>
            <w:rPr>
              <w:b/>
              <w:bCs/>
              <w:color w:val="76923C"/>
              <w:sz w:val="28"/>
            </w:rPr>
          </w:pPr>
          <w:r>
            <w:rPr>
              <w:bCs/>
              <w:sz w:val="36"/>
            </w:rPr>
            <w:t xml:space="preserve"> </w:t>
          </w:r>
          <w:proofErr w:type="spellStart"/>
          <w:proofErr w:type="gramStart"/>
          <w:r w:rsidR="000C66D4">
            <w:rPr>
              <w:bCs/>
              <w:color w:val="808080"/>
              <w:sz w:val="36"/>
            </w:rPr>
            <w:t>pdl.</w:t>
          </w:r>
          <w:r w:rsidR="00E028D9" w:rsidRPr="00E74AD6">
            <w:rPr>
              <w:bCs/>
              <w:i/>
              <w:color w:val="808080"/>
              <w:sz w:val="36"/>
            </w:rPr>
            <w:t>konkret</w:t>
          </w:r>
          <w:proofErr w:type="spellEnd"/>
          <w:proofErr w:type="gramEnd"/>
          <w:r w:rsidR="00E028D9" w:rsidRPr="00E74AD6">
            <w:rPr>
              <w:bCs/>
              <w:i/>
              <w:color w:val="808080"/>
              <w:sz w:val="36"/>
            </w:rPr>
            <w:t xml:space="preserve"> ambulant</w:t>
          </w:r>
        </w:p>
        <w:p w14:paraId="48779234" w14:textId="77777777" w:rsidR="008522CE" w:rsidRPr="00E74AD6" w:rsidRDefault="008C0D29" w:rsidP="00E028D9">
          <w:pPr>
            <w:pStyle w:val="Kopfzeile"/>
            <w:rPr>
              <w:b/>
              <w:bCs/>
              <w:color w:val="808080"/>
              <w:sz w:val="16"/>
            </w:rPr>
          </w:pPr>
          <w:r w:rsidRPr="00E74AD6">
            <w:rPr>
              <w:b/>
              <w:bCs/>
              <w:color w:val="808080"/>
              <w:sz w:val="16"/>
            </w:rPr>
            <w:t>D</w:t>
          </w:r>
          <w:r w:rsidR="00E028D9" w:rsidRPr="00E74AD6">
            <w:rPr>
              <w:b/>
              <w:bCs/>
              <w:color w:val="808080"/>
              <w:sz w:val="16"/>
            </w:rPr>
            <w:t>er praxisnahe Informationsdienst für die Leitung von ambulanten Pflegediensten</w:t>
          </w:r>
        </w:p>
      </w:tc>
    </w:tr>
  </w:tbl>
  <w:p w14:paraId="48CB915E" w14:textId="77777777" w:rsidR="007A7CA7" w:rsidRDefault="007A7CA7" w:rsidP="00DA1ADE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9FF33D" w14:textId="77777777" w:rsidR="00F5361A" w:rsidRDefault="00F5361A" w:rsidP="00DA1ADE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9CBF1E8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71F0D7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CB2931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B2861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7E88B6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DB46A5A"/>
    <w:multiLevelType w:val="hybridMultilevel"/>
    <w:tmpl w:val="95EC1920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19C3D2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1C31309"/>
    <w:multiLevelType w:val="hybridMultilevel"/>
    <w:tmpl w:val="02AE0F22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3AA10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328B9F4"/>
    <w:multiLevelType w:val="hybridMultilevel"/>
    <w:tmpl w:val="4CE07C2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D0B4149"/>
    <w:multiLevelType w:val="hybridMultilevel"/>
    <w:tmpl w:val="82C893C4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D794621"/>
    <w:multiLevelType w:val="hybridMultilevel"/>
    <w:tmpl w:val="553EB2FE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FA085B"/>
    <w:multiLevelType w:val="hybridMultilevel"/>
    <w:tmpl w:val="9B6AC06A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1C23CC"/>
    <w:multiLevelType w:val="hybridMultilevel"/>
    <w:tmpl w:val="0AAA94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8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9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0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1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2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3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EFD18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6E837821"/>
    <w:multiLevelType w:val="hybridMultilevel"/>
    <w:tmpl w:val="B31815B4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73560183"/>
    <w:multiLevelType w:val="hybridMultilevel"/>
    <w:tmpl w:val="47E2288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758E0BED"/>
    <w:multiLevelType w:val="hybridMultilevel"/>
    <w:tmpl w:val="5F84D9AA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227D71"/>
    <w:multiLevelType w:val="hybridMultilevel"/>
    <w:tmpl w:val="50CC07A0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76634571">
    <w:abstractNumId w:val="22"/>
  </w:num>
  <w:num w:numId="2" w16cid:durableId="1523666159">
    <w:abstractNumId w:val="33"/>
  </w:num>
  <w:num w:numId="3" w16cid:durableId="1865754299">
    <w:abstractNumId w:val="39"/>
  </w:num>
  <w:num w:numId="4" w16cid:durableId="818304963">
    <w:abstractNumId w:val="23"/>
  </w:num>
  <w:num w:numId="5" w16cid:durableId="909541012">
    <w:abstractNumId w:val="14"/>
  </w:num>
  <w:num w:numId="6" w16cid:durableId="1327440480">
    <w:abstractNumId w:val="19"/>
  </w:num>
  <w:num w:numId="7" w16cid:durableId="1965695332">
    <w:abstractNumId w:val="26"/>
  </w:num>
  <w:num w:numId="8" w16cid:durableId="1631742190">
    <w:abstractNumId w:val="25"/>
  </w:num>
  <w:num w:numId="9" w16cid:durableId="507452013">
    <w:abstractNumId w:val="21"/>
  </w:num>
  <w:num w:numId="10" w16cid:durableId="1380588834">
    <w:abstractNumId w:val="8"/>
  </w:num>
  <w:num w:numId="11" w16cid:durableId="905796348">
    <w:abstractNumId w:val="34"/>
  </w:num>
  <w:num w:numId="12" w16cid:durableId="561402115">
    <w:abstractNumId w:val="28"/>
  </w:num>
  <w:num w:numId="13" w16cid:durableId="2137408609">
    <w:abstractNumId w:val="29"/>
  </w:num>
  <w:num w:numId="14" w16cid:durableId="1825924056">
    <w:abstractNumId w:val="27"/>
  </w:num>
  <w:num w:numId="15" w16cid:durableId="1575043430">
    <w:abstractNumId w:val="30"/>
  </w:num>
  <w:num w:numId="16" w16cid:durableId="260797494">
    <w:abstractNumId w:val="31"/>
  </w:num>
  <w:num w:numId="17" w16cid:durableId="1416823773">
    <w:abstractNumId w:val="32"/>
  </w:num>
  <w:num w:numId="18" w16cid:durableId="870455365">
    <w:abstractNumId w:val="7"/>
  </w:num>
  <w:num w:numId="19" w16cid:durableId="352223203">
    <w:abstractNumId w:val="6"/>
  </w:num>
  <w:num w:numId="20" w16cid:durableId="859202725">
    <w:abstractNumId w:val="5"/>
  </w:num>
  <w:num w:numId="21" w16cid:durableId="767504800">
    <w:abstractNumId w:val="4"/>
  </w:num>
  <w:num w:numId="22" w16cid:durableId="1270619908">
    <w:abstractNumId w:val="3"/>
  </w:num>
  <w:num w:numId="23" w16cid:durableId="1497067334">
    <w:abstractNumId w:val="16"/>
  </w:num>
  <w:num w:numId="24" w16cid:durableId="756941337">
    <w:abstractNumId w:val="11"/>
  </w:num>
  <w:num w:numId="25" w16cid:durableId="1145244037">
    <w:abstractNumId w:val="13"/>
  </w:num>
  <w:num w:numId="26" w16cid:durableId="1266232381">
    <w:abstractNumId w:val="36"/>
  </w:num>
  <w:num w:numId="27" w16cid:durableId="379787300">
    <w:abstractNumId w:val="38"/>
  </w:num>
  <w:num w:numId="28" w16cid:durableId="424151893">
    <w:abstractNumId w:val="40"/>
  </w:num>
  <w:num w:numId="29" w16cid:durableId="107509980">
    <w:abstractNumId w:val="37"/>
  </w:num>
  <w:num w:numId="30" w16cid:durableId="223221979">
    <w:abstractNumId w:val="17"/>
  </w:num>
  <w:num w:numId="31" w16cid:durableId="817040694">
    <w:abstractNumId w:val="18"/>
  </w:num>
  <w:num w:numId="32" w16cid:durableId="2116242248">
    <w:abstractNumId w:val="24"/>
  </w:num>
  <w:num w:numId="33" w16cid:durableId="1053652417">
    <w:abstractNumId w:val="1"/>
  </w:num>
  <w:num w:numId="34" w16cid:durableId="906649655">
    <w:abstractNumId w:val="0"/>
  </w:num>
  <w:num w:numId="35" w16cid:durableId="1999460173">
    <w:abstractNumId w:val="12"/>
  </w:num>
  <w:num w:numId="36" w16cid:durableId="1954634760">
    <w:abstractNumId w:val="2"/>
  </w:num>
  <w:num w:numId="37" w16cid:durableId="743382500">
    <w:abstractNumId w:val="15"/>
  </w:num>
  <w:num w:numId="38" w16cid:durableId="1566524373">
    <w:abstractNumId w:val="10"/>
  </w:num>
  <w:num w:numId="39" w16cid:durableId="2103791246">
    <w:abstractNumId w:val="9"/>
  </w:num>
  <w:num w:numId="40" w16cid:durableId="1594971883">
    <w:abstractNumId w:val="35"/>
  </w:num>
  <w:num w:numId="41" w16cid:durableId="780540040">
    <w:abstractNumId w:val="2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3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4253"/>
    <w:rsid w:val="000A7188"/>
    <w:rsid w:val="000B1635"/>
    <w:rsid w:val="000B50CC"/>
    <w:rsid w:val="000C66D4"/>
    <w:rsid w:val="000C6A2D"/>
    <w:rsid w:val="0015409B"/>
    <w:rsid w:val="001B429B"/>
    <w:rsid w:val="001E33AA"/>
    <w:rsid w:val="00205D0C"/>
    <w:rsid w:val="00217E03"/>
    <w:rsid w:val="00243397"/>
    <w:rsid w:val="0027096C"/>
    <w:rsid w:val="002766CF"/>
    <w:rsid w:val="0028515F"/>
    <w:rsid w:val="002A5D13"/>
    <w:rsid w:val="002B029B"/>
    <w:rsid w:val="002B4419"/>
    <w:rsid w:val="002D45E4"/>
    <w:rsid w:val="002E4378"/>
    <w:rsid w:val="002E64E3"/>
    <w:rsid w:val="002F41D3"/>
    <w:rsid w:val="003676E3"/>
    <w:rsid w:val="00380EF0"/>
    <w:rsid w:val="003E3400"/>
    <w:rsid w:val="00411FEC"/>
    <w:rsid w:val="00433F51"/>
    <w:rsid w:val="004639C0"/>
    <w:rsid w:val="004955F6"/>
    <w:rsid w:val="004A47F9"/>
    <w:rsid w:val="004C2396"/>
    <w:rsid w:val="00501C72"/>
    <w:rsid w:val="0050689E"/>
    <w:rsid w:val="00536E92"/>
    <w:rsid w:val="00551B88"/>
    <w:rsid w:val="00581B4B"/>
    <w:rsid w:val="00587D31"/>
    <w:rsid w:val="005B4B47"/>
    <w:rsid w:val="005D14F4"/>
    <w:rsid w:val="005E6B95"/>
    <w:rsid w:val="00614D0A"/>
    <w:rsid w:val="00644CE3"/>
    <w:rsid w:val="00653E72"/>
    <w:rsid w:val="00661981"/>
    <w:rsid w:val="006910F2"/>
    <w:rsid w:val="006A5CFE"/>
    <w:rsid w:val="006E18EF"/>
    <w:rsid w:val="00767817"/>
    <w:rsid w:val="007A7CA7"/>
    <w:rsid w:val="007B0290"/>
    <w:rsid w:val="007B1333"/>
    <w:rsid w:val="007C0AE5"/>
    <w:rsid w:val="007D2F6C"/>
    <w:rsid w:val="007D34A4"/>
    <w:rsid w:val="007E1A2E"/>
    <w:rsid w:val="00841FA8"/>
    <w:rsid w:val="008522CE"/>
    <w:rsid w:val="00852BFB"/>
    <w:rsid w:val="008633AC"/>
    <w:rsid w:val="00887070"/>
    <w:rsid w:val="008B0724"/>
    <w:rsid w:val="008B1F83"/>
    <w:rsid w:val="008B429C"/>
    <w:rsid w:val="008C0D29"/>
    <w:rsid w:val="008D4072"/>
    <w:rsid w:val="008E62B1"/>
    <w:rsid w:val="009000A8"/>
    <w:rsid w:val="009352A5"/>
    <w:rsid w:val="00937B0B"/>
    <w:rsid w:val="009433D9"/>
    <w:rsid w:val="00983536"/>
    <w:rsid w:val="00985C2F"/>
    <w:rsid w:val="009A6365"/>
    <w:rsid w:val="009B721F"/>
    <w:rsid w:val="009E6591"/>
    <w:rsid w:val="009F64ED"/>
    <w:rsid w:val="00A06C64"/>
    <w:rsid w:val="00A42A0D"/>
    <w:rsid w:val="00A91563"/>
    <w:rsid w:val="00AD39D1"/>
    <w:rsid w:val="00AF17D9"/>
    <w:rsid w:val="00B01FFE"/>
    <w:rsid w:val="00B12321"/>
    <w:rsid w:val="00B16885"/>
    <w:rsid w:val="00B67280"/>
    <w:rsid w:val="00B707AF"/>
    <w:rsid w:val="00B81586"/>
    <w:rsid w:val="00B87D52"/>
    <w:rsid w:val="00BD71E9"/>
    <w:rsid w:val="00C310AF"/>
    <w:rsid w:val="00C42D52"/>
    <w:rsid w:val="00C73E1A"/>
    <w:rsid w:val="00C91E68"/>
    <w:rsid w:val="00C9289F"/>
    <w:rsid w:val="00CC38C8"/>
    <w:rsid w:val="00CD4F0B"/>
    <w:rsid w:val="00D56265"/>
    <w:rsid w:val="00D6029A"/>
    <w:rsid w:val="00D935C2"/>
    <w:rsid w:val="00D96EA7"/>
    <w:rsid w:val="00D97E25"/>
    <w:rsid w:val="00DA1ADE"/>
    <w:rsid w:val="00DB32C7"/>
    <w:rsid w:val="00DD233A"/>
    <w:rsid w:val="00E028D9"/>
    <w:rsid w:val="00E2265E"/>
    <w:rsid w:val="00E74AD6"/>
    <w:rsid w:val="00EB0E40"/>
    <w:rsid w:val="00ED7053"/>
    <w:rsid w:val="00F20663"/>
    <w:rsid w:val="00F5361A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13F16"/>
  <w15:chartTrackingRefBased/>
  <w15:docId w15:val="{850EB6E3-59BF-49E5-9A77-9B93423A1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customStyle="1" w:styleId="Pa3">
    <w:name w:val="Pa3"/>
    <w:basedOn w:val="Standard"/>
    <w:next w:val="Standard"/>
    <w:uiPriority w:val="99"/>
    <w:rsid w:val="009F64ED"/>
    <w:pPr>
      <w:autoSpaceDE w:val="0"/>
      <w:autoSpaceDN w:val="0"/>
      <w:adjustRightInd w:val="0"/>
      <w:spacing w:after="0" w:line="201" w:lineRule="atLeast"/>
    </w:pPr>
    <w:rPr>
      <w:rFonts w:ascii="Agfa Rotis Semisans" w:hAnsi="Agfa Rotis Semisans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FFC7E-49A4-470C-A740-1F6F9FCD3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754</Words>
  <Characters>4754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Ina Hold</cp:lastModifiedBy>
  <cp:revision>2</cp:revision>
  <cp:lastPrinted>2013-12-09T12:30:00Z</cp:lastPrinted>
  <dcterms:created xsi:type="dcterms:W3CDTF">2026-06-28T19:49:00Z</dcterms:created>
  <dcterms:modified xsi:type="dcterms:W3CDTF">2026-06-28T19:49:00Z</dcterms:modified>
</cp:coreProperties>
</file>