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E32064" w14:textId="77777777" w:rsidR="002A5D13" w:rsidRDefault="007A7CA7" w:rsidP="007A7CA7">
      <w:pPr>
        <w:tabs>
          <w:tab w:val="left" w:pos="5280"/>
        </w:tabs>
        <w:rPr>
          <w:b/>
          <w:noProof/>
          <w:lang w:eastAsia="de-DE"/>
        </w:rPr>
      </w:pPr>
      <w:r>
        <w:rPr>
          <w:b/>
          <w:noProof/>
          <w:lang w:eastAsia="de-DE"/>
        </w:rPr>
        <w:tab/>
      </w:r>
    </w:p>
    <w:p w14:paraId="0385F1CB" w14:textId="01D624F1" w:rsidR="005B4B47" w:rsidRDefault="007A7CA7" w:rsidP="005B4B47">
      <w:pPr>
        <w:tabs>
          <w:tab w:val="left" w:pos="2430"/>
          <w:tab w:val="left" w:pos="4185"/>
          <w:tab w:val="left" w:pos="6900"/>
        </w:tabs>
      </w:pPr>
      <w:r>
        <w:tab/>
      </w:r>
    </w:p>
    <w:p w14:paraId="5F6D6401" w14:textId="0B6AE964" w:rsidR="005B4B47" w:rsidRPr="005B4B47" w:rsidRDefault="005B4B47" w:rsidP="005B4B47"/>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1"/>
      </w:tblGrid>
      <w:tr w:rsidR="005B4B47" w:rsidRPr="005B4B47" w14:paraId="580B6724" w14:textId="77777777" w:rsidTr="005B4B47">
        <w:trPr>
          <w:trHeight w:val="572"/>
          <w:jc w:val="center"/>
        </w:trPr>
        <w:tc>
          <w:tcPr>
            <w:tcW w:w="10201" w:type="dxa"/>
            <w:shd w:val="clear" w:color="auto" w:fill="0099CC"/>
          </w:tcPr>
          <w:p w14:paraId="6BB3492E" w14:textId="489373BB" w:rsidR="005B4B47" w:rsidRPr="005B4B47" w:rsidRDefault="005B4B47" w:rsidP="005B4B47">
            <w:pPr>
              <w:spacing w:before="120" w:after="120"/>
              <w:rPr>
                <w:rFonts w:ascii="Arial" w:hAnsi="Arial" w:cs="Arial"/>
                <w:b/>
                <w:color w:val="FFFFFF"/>
                <w:sz w:val="28"/>
                <w:szCs w:val="28"/>
              </w:rPr>
            </w:pPr>
            <w:r w:rsidRPr="005B4B47">
              <w:rPr>
                <w:rFonts w:ascii="Arial" w:hAnsi="Arial" w:cs="Arial"/>
                <w:b/>
                <w:color w:val="FFFFFF"/>
                <w:sz w:val="28"/>
                <w:szCs w:val="28"/>
              </w:rPr>
              <w:t>Übersicht: Pflegema</w:t>
            </w:r>
            <w:r>
              <w:rPr>
                <w:rFonts w:ascii="Arial" w:hAnsi="Arial" w:cs="Arial"/>
                <w:b/>
                <w:color w:val="FFFFFF"/>
                <w:sz w:val="28"/>
                <w:szCs w:val="28"/>
              </w:rPr>
              <w:t>ß</w:t>
            </w:r>
            <w:r w:rsidRPr="005B4B47">
              <w:rPr>
                <w:rFonts w:ascii="Arial" w:hAnsi="Arial" w:cs="Arial"/>
                <w:b/>
                <w:color w:val="FFFFFF"/>
                <w:sz w:val="28"/>
                <w:szCs w:val="28"/>
              </w:rPr>
              <w:t xml:space="preserve">nahmen </w:t>
            </w:r>
            <w:r>
              <w:rPr>
                <w:rFonts w:ascii="Arial" w:hAnsi="Arial" w:cs="Arial"/>
                <w:b/>
                <w:color w:val="FFFFFF"/>
                <w:sz w:val="28"/>
                <w:szCs w:val="28"/>
              </w:rPr>
              <w:t>b</w:t>
            </w:r>
            <w:r w:rsidRPr="005B4B47">
              <w:rPr>
                <w:rFonts w:ascii="Arial" w:hAnsi="Arial" w:cs="Arial"/>
                <w:b/>
                <w:color w:val="FFFFFF"/>
                <w:sz w:val="28"/>
                <w:szCs w:val="28"/>
              </w:rPr>
              <w:t>ei M</w:t>
            </w:r>
            <w:r>
              <w:rPr>
                <w:rFonts w:ascii="Arial" w:hAnsi="Arial" w:cs="Arial"/>
                <w:b/>
                <w:color w:val="FFFFFF"/>
                <w:sz w:val="28"/>
                <w:szCs w:val="28"/>
              </w:rPr>
              <w:t>S</w:t>
            </w:r>
          </w:p>
        </w:tc>
      </w:tr>
      <w:tr w:rsidR="005B4B47" w:rsidRPr="005B4B47" w14:paraId="3D60E4F2" w14:textId="77777777" w:rsidTr="005B4B47">
        <w:trPr>
          <w:trHeight w:val="572"/>
          <w:jc w:val="center"/>
        </w:trPr>
        <w:tc>
          <w:tcPr>
            <w:tcW w:w="10201" w:type="dxa"/>
          </w:tcPr>
          <w:p w14:paraId="02A25E52" w14:textId="2DBA2D52"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Richtiges Schuhwerk und Hilfsmittel beim Gehen:</w:t>
            </w:r>
            <w:r w:rsidRPr="005B4B47">
              <w:rPr>
                <w:rFonts w:ascii="Arial" w:hAnsi="Arial" w:cs="Arial"/>
                <w:color w:val="000000" w:themeColor="text1"/>
                <w:sz w:val="24"/>
              </w:rPr>
              <w:t xml:space="preserve"> Lähmungen in den Füßen sind bei MS häufig. Dadurch kann Ihr Pflegekunde beim Gehen leichter mit den Füßen am Boden hängen bleiben und stolpern. Empfehlenswert sind daher möglichst gleitfähige Sohlen, beispielsweise Ledersohlen. Diese bleiben weniger am Untergrund haften als Gummisohlen. Eine </w:t>
            </w:r>
            <w:proofErr w:type="spellStart"/>
            <w:r w:rsidRPr="005B4B47">
              <w:rPr>
                <w:rFonts w:ascii="Arial" w:hAnsi="Arial" w:cs="Arial"/>
                <w:color w:val="000000" w:themeColor="text1"/>
                <w:sz w:val="24"/>
              </w:rPr>
              <w:t>Peroneusschiene</w:t>
            </w:r>
            <w:proofErr w:type="spellEnd"/>
            <w:r w:rsidRPr="005B4B47">
              <w:rPr>
                <w:rFonts w:ascii="Arial" w:hAnsi="Arial" w:cs="Arial"/>
                <w:color w:val="000000" w:themeColor="text1"/>
                <w:sz w:val="24"/>
              </w:rPr>
              <w:t xml:space="preserve"> (Schiene zur Unterstützung des Fußhebens) kann zusätzlich das Gangbild verbessern. </w:t>
            </w:r>
          </w:p>
          <w:p w14:paraId="2A092F1B" w14:textId="77777777"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HINWEIS:</w:t>
            </w:r>
            <w:r w:rsidRPr="005B4B47">
              <w:rPr>
                <w:rFonts w:ascii="Arial" w:hAnsi="Arial" w:cs="Arial"/>
                <w:color w:val="000000" w:themeColor="text1"/>
                <w:sz w:val="24"/>
              </w:rPr>
              <w:t xml:space="preserve"> Verweisen Sie hier unbedingt auf die Fachexperten, wie z. B. Orthopäden und orthopädische Schuhmacher. </w:t>
            </w:r>
          </w:p>
        </w:tc>
      </w:tr>
      <w:tr w:rsidR="005B4B47" w:rsidRPr="005B4B47" w14:paraId="19800444" w14:textId="77777777" w:rsidTr="005B4B47">
        <w:trPr>
          <w:trHeight w:val="458"/>
          <w:jc w:val="center"/>
        </w:trPr>
        <w:tc>
          <w:tcPr>
            <w:tcW w:w="10201" w:type="dxa"/>
          </w:tcPr>
          <w:p w14:paraId="493BE2FE" w14:textId="5A697489"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Fieber und Überwärmung ernst nehmen:</w:t>
            </w:r>
            <w:r w:rsidRPr="005B4B47">
              <w:rPr>
                <w:rFonts w:ascii="Arial" w:hAnsi="Arial" w:cs="Arial"/>
                <w:color w:val="000000" w:themeColor="text1"/>
                <w:sz w:val="24"/>
              </w:rPr>
              <w:t xml:space="preserve"> Fieber und starke Wärme können bestehende Beschwerden verstärken oder einen Schub begünstigen. Beobachten Sie deshalb bereits erhöhte Körpertemperaturen aufmerksam und leiten Sie rechtzeitig fiebersenkende Maßnahmen ein. Achten Sie außerdem auf ausreichende Flüssigkeitszufuhr und vermeiden Sie starke Überwärmung, insbesondere im Sommer. </w:t>
            </w:r>
          </w:p>
        </w:tc>
      </w:tr>
      <w:tr w:rsidR="005B4B47" w:rsidRPr="005B4B47" w14:paraId="5D91046C" w14:textId="77777777" w:rsidTr="005B4B47">
        <w:trPr>
          <w:trHeight w:val="570"/>
          <w:jc w:val="center"/>
        </w:trPr>
        <w:tc>
          <w:tcPr>
            <w:tcW w:w="10201" w:type="dxa"/>
          </w:tcPr>
          <w:p w14:paraId="5F305DF2" w14:textId="77777777"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Bauchlagerung gezielt einsetzen:</w:t>
            </w:r>
            <w:r w:rsidRPr="005B4B47">
              <w:rPr>
                <w:rFonts w:ascii="Arial" w:hAnsi="Arial" w:cs="Arial"/>
                <w:color w:val="000000" w:themeColor="text1"/>
                <w:sz w:val="24"/>
              </w:rPr>
              <w:t xml:space="preserve"> Bei Beugespastiken im Bereich der Knie und Hüften besteht die Gefahr von Kontrakturen und einer ausgeprägten Beugehaltung. Positionieren Sie immobile Pflegekunden mit MS daher zeitweise in Bauchlage, sofern keine Kontraindikationen bestehen. Das Körpergewicht unterstützt die Streckung der Hüfte, wodurch sich auch die Knie leichter strecken. Achten Sie auf eine gute Polsterung unter Becken und Unterschenkeln sowie auf Atmung, Hautzustand und Wohlbefinden. </w:t>
            </w:r>
          </w:p>
        </w:tc>
      </w:tr>
      <w:tr w:rsidR="005B4B47" w:rsidRPr="005B4B47" w14:paraId="4AE1041C" w14:textId="77777777" w:rsidTr="005B4B47">
        <w:trPr>
          <w:trHeight w:val="458"/>
          <w:jc w:val="center"/>
        </w:trPr>
        <w:tc>
          <w:tcPr>
            <w:tcW w:w="10201" w:type="dxa"/>
          </w:tcPr>
          <w:p w14:paraId="1F639893" w14:textId="641B9CD8"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Transfers gut vorbereiten:</w:t>
            </w:r>
            <w:r w:rsidRPr="005B4B47">
              <w:rPr>
                <w:rFonts w:ascii="Arial" w:hAnsi="Arial" w:cs="Arial"/>
                <w:color w:val="000000" w:themeColor="text1"/>
                <w:sz w:val="24"/>
              </w:rPr>
              <w:t xml:space="preserve"> Bei Streckspastiken im Beckenbereich kann das Aufstehen erschwert sein. Bitten Sie Angehörige, die Beine etwa 20 Minuten vor der pflegerischen Versorgung im 90°-Winkel zu lagern, beispielsweise auf einem Lagerungswürfel. Dadurch kann sich die Muskulatur entspannen. Bewegungen sollten langsam, ruhig und ohne Zeitdruck durchgeführt werden. Beachten Sie hierbei den Expertenstandard „Mobilität“. </w:t>
            </w:r>
          </w:p>
        </w:tc>
      </w:tr>
      <w:tr w:rsidR="005B4B47" w:rsidRPr="005B4B47" w14:paraId="61E57F62" w14:textId="77777777" w:rsidTr="005B4B47">
        <w:trPr>
          <w:trHeight w:val="345"/>
          <w:jc w:val="center"/>
        </w:trPr>
        <w:tc>
          <w:tcPr>
            <w:tcW w:w="10201" w:type="dxa"/>
          </w:tcPr>
          <w:p w14:paraId="356795AB" w14:textId="77777777"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Spastiken vorsichtig lösen:</w:t>
            </w:r>
            <w:r w:rsidRPr="005B4B47">
              <w:rPr>
                <w:rFonts w:ascii="Arial" w:hAnsi="Arial" w:cs="Arial"/>
                <w:color w:val="000000" w:themeColor="text1"/>
                <w:sz w:val="24"/>
              </w:rPr>
              <w:t xml:space="preserve"> Bei Streckspastiken kann sich Ihr Pflegekunde häufig nicht selbstständig hinsetzen. Stabilisieren Sie die Knie vorsichtig und beugen Sie den Oberkörper leicht nach vorn. Geben Sie beim Hinsetzen langsam nach. Arbeiten Sie niemals mit Gewalt gegen eine Spastik. </w:t>
            </w:r>
          </w:p>
        </w:tc>
      </w:tr>
      <w:tr w:rsidR="005B4B47" w:rsidRPr="005B4B47" w14:paraId="1CD49E43" w14:textId="77777777" w:rsidTr="005B4B47">
        <w:trPr>
          <w:trHeight w:val="345"/>
          <w:jc w:val="center"/>
        </w:trPr>
        <w:tc>
          <w:tcPr>
            <w:tcW w:w="10201" w:type="dxa"/>
          </w:tcPr>
          <w:p w14:paraId="3C54D0A2" w14:textId="77777777"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Selbstständigkeit beim Ankleiden fördern:</w:t>
            </w:r>
            <w:r w:rsidRPr="005B4B47">
              <w:rPr>
                <w:rFonts w:ascii="Arial" w:hAnsi="Arial" w:cs="Arial"/>
                <w:color w:val="000000" w:themeColor="text1"/>
                <w:sz w:val="24"/>
              </w:rPr>
              <w:t xml:space="preserve"> Tremor und Greifstörungen erschweren oft das Ankleiden. Empfehlenswert sind deshalb große Verschlüsse, Klettsysteme oder Reißverschlüsse. Zusätzliche Ringe an Reißverschlüssen erleichtern das Greifen. Ziel sollte immer sein, die Selbstständigkeit möglichst lange zu erhalten. Beziehen Sie hier Experten mit ein. </w:t>
            </w:r>
          </w:p>
        </w:tc>
      </w:tr>
      <w:tr w:rsidR="005B4B47" w:rsidRPr="005B4B47" w14:paraId="50AB33BE" w14:textId="77777777" w:rsidTr="005B4B47">
        <w:trPr>
          <w:trHeight w:val="458"/>
          <w:jc w:val="center"/>
        </w:trPr>
        <w:tc>
          <w:tcPr>
            <w:tcW w:w="10201" w:type="dxa"/>
          </w:tcPr>
          <w:p w14:paraId="23C827CA" w14:textId="125CF94A"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lastRenderedPageBreak/>
              <w:t>Harnwegsinfekten vorbeugen:</w:t>
            </w:r>
            <w:r w:rsidRPr="005B4B47">
              <w:rPr>
                <w:rFonts w:ascii="Arial" w:hAnsi="Arial" w:cs="Arial"/>
                <w:color w:val="000000" w:themeColor="text1"/>
                <w:sz w:val="24"/>
              </w:rPr>
              <w:t xml:space="preserve"> Mit zunehmender Erkrankung kann die Blasenentleerung gestört sein. Restharn erhöht das Risiko für Harnwegsinfekte. Beobachten Sie Veränderungen beim Wasserlassen, ungewöhnlichen Geruch, Schmerzen oder Fieber. Ärztlich verordnete Urinkontrollen können helfen, Infekte frühzeitig zu erkennen. Beachten Sie hierbei den Expertenstandard „</w:t>
            </w:r>
            <w:proofErr w:type="spellStart"/>
            <w:r w:rsidRPr="005B4B47">
              <w:rPr>
                <w:rFonts w:ascii="Arial" w:hAnsi="Arial" w:cs="Arial"/>
                <w:color w:val="000000" w:themeColor="text1"/>
                <w:sz w:val="24"/>
              </w:rPr>
              <w:t>Kontinenzförderung</w:t>
            </w:r>
            <w:proofErr w:type="spellEnd"/>
            <w:r w:rsidRPr="005B4B47">
              <w:rPr>
                <w:rFonts w:ascii="Arial" w:hAnsi="Arial" w:cs="Arial"/>
                <w:color w:val="000000" w:themeColor="text1"/>
                <w:sz w:val="24"/>
              </w:rPr>
              <w:t xml:space="preserve">“. </w:t>
            </w:r>
          </w:p>
        </w:tc>
      </w:tr>
      <w:tr w:rsidR="005B4B47" w:rsidRPr="005B4B47" w14:paraId="6520D16D" w14:textId="77777777" w:rsidTr="005B4B47">
        <w:trPr>
          <w:trHeight w:val="345"/>
          <w:jc w:val="center"/>
        </w:trPr>
        <w:tc>
          <w:tcPr>
            <w:tcW w:w="10201" w:type="dxa"/>
          </w:tcPr>
          <w:p w14:paraId="52ECE52D" w14:textId="5446F349"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Verstopfung vermeiden:</w:t>
            </w:r>
            <w:r w:rsidRPr="005B4B47">
              <w:rPr>
                <w:rFonts w:ascii="Arial" w:hAnsi="Arial" w:cs="Arial"/>
                <w:color w:val="000000" w:themeColor="text1"/>
                <w:sz w:val="24"/>
              </w:rPr>
              <w:t xml:space="preserve"> Viele Betroffene leiden unter Obstipation. Sprechen Sie dieses intime Thema behutsam an. Unterstützend wirken ballaststoffreiche Ernährung, ausreichende Flüssigkeitszufuhr, Bewegung und – nach ärztlicher Rücksprache – Maßnahmen wie eine Laxantien-Gabe oder </w:t>
            </w:r>
            <w:proofErr w:type="spellStart"/>
            <w:r w:rsidRPr="005B4B47">
              <w:rPr>
                <w:rFonts w:ascii="Arial" w:hAnsi="Arial" w:cs="Arial"/>
                <w:color w:val="000000" w:themeColor="text1"/>
                <w:sz w:val="24"/>
              </w:rPr>
              <w:t>Colonmassage</w:t>
            </w:r>
            <w:proofErr w:type="spellEnd"/>
            <w:r w:rsidRPr="005B4B47">
              <w:rPr>
                <w:rFonts w:ascii="Arial" w:hAnsi="Arial" w:cs="Arial"/>
                <w:color w:val="000000" w:themeColor="text1"/>
                <w:sz w:val="24"/>
              </w:rPr>
              <w:t xml:space="preserve">. </w:t>
            </w:r>
          </w:p>
        </w:tc>
      </w:tr>
      <w:tr w:rsidR="005B4B47" w:rsidRPr="005B4B47" w14:paraId="5E2C7388" w14:textId="77777777" w:rsidTr="005B4B47">
        <w:trPr>
          <w:trHeight w:val="345"/>
          <w:jc w:val="center"/>
        </w:trPr>
        <w:tc>
          <w:tcPr>
            <w:tcW w:w="10201" w:type="dxa"/>
          </w:tcPr>
          <w:p w14:paraId="370F39E2" w14:textId="77777777"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Energiereserven einteilen:</w:t>
            </w:r>
            <w:r w:rsidRPr="005B4B47">
              <w:rPr>
                <w:rFonts w:ascii="Arial" w:hAnsi="Arial" w:cs="Arial"/>
                <w:color w:val="000000" w:themeColor="text1"/>
                <w:sz w:val="24"/>
              </w:rPr>
              <w:t xml:space="preserve"> Fatigue gehört zu den häufigsten Beschwerden bei MS. Selbst nach ausreichend Schlaf fühlen sich viele Betroffene erschöpft. Planen Sie deshalb gemeinsam mit dem Pflegekunden und seinen Angehörigen den Alltag möglichst energiesparend. Wichtige Aktivitäten sollten über den Tag verteilt und unnötige Belastungen vermieden werden. </w:t>
            </w:r>
          </w:p>
        </w:tc>
      </w:tr>
      <w:tr w:rsidR="005B4B47" w:rsidRPr="005B4B47" w14:paraId="78276979" w14:textId="77777777" w:rsidTr="005B4B47">
        <w:trPr>
          <w:trHeight w:val="345"/>
          <w:jc w:val="center"/>
        </w:trPr>
        <w:tc>
          <w:tcPr>
            <w:tcW w:w="10201" w:type="dxa"/>
          </w:tcPr>
          <w:p w14:paraId="6A591FD7" w14:textId="77777777"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Schmerzen lindern:</w:t>
            </w:r>
            <w:r w:rsidRPr="005B4B47">
              <w:rPr>
                <w:rFonts w:ascii="Arial" w:hAnsi="Arial" w:cs="Arial"/>
                <w:color w:val="000000" w:themeColor="text1"/>
                <w:sz w:val="24"/>
              </w:rPr>
              <w:t xml:space="preserve"> Viele Betroffene leiden z. B. durch Nervenschäden oder </w:t>
            </w:r>
            <w:proofErr w:type="spellStart"/>
            <w:r w:rsidRPr="005B4B47">
              <w:rPr>
                <w:rFonts w:ascii="Arial" w:hAnsi="Arial" w:cs="Arial"/>
                <w:color w:val="000000" w:themeColor="text1"/>
                <w:sz w:val="24"/>
              </w:rPr>
              <w:t>Spalstik</w:t>
            </w:r>
            <w:proofErr w:type="spellEnd"/>
            <w:r w:rsidRPr="005B4B47">
              <w:rPr>
                <w:rFonts w:ascii="Arial" w:hAnsi="Arial" w:cs="Arial"/>
                <w:color w:val="000000" w:themeColor="text1"/>
                <w:sz w:val="24"/>
              </w:rPr>
              <w:t xml:space="preserve"> unter </w:t>
            </w:r>
            <w:proofErr w:type="spellStart"/>
            <w:r w:rsidRPr="005B4B47">
              <w:rPr>
                <w:rFonts w:ascii="Arial" w:hAnsi="Arial" w:cs="Arial"/>
                <w:color w:val="000000" w:themeColor="text1"/>
                <w:sz w:val="24"/>
              </w:rPr>
              <w:t>unter</w:t>
            </w:r>
            <w:proofErr w:type="spellEnd"/>
            <w:r w:rsidRPr="005B4B47">
              <w:rPr>
                <w:rFonts w:ascii="Arial" w:hAnsi="Arial" w:cs="Arial"/>
                <w:color w:val="000000" w:themeColor="text1"/>
                <w:sz w:val="24"/>
              </w:rPr>
              <w:t xml:space="preserve"> Schmerzen. Informieren Sie Ihren Pflegekunden darüber, dass Schmerzen frühzeitig angesprochen werden sollten. Leiten Sie rechtzeitig geeignete Maßnahmen zur Schmerzlinderung ein und beachten Sie hierbei den Expertenstandard „Schmerzmanagement“. </w:t>
            </w:r>
          </w:p>
        </w:tc>
      </w:tr>
      <w:tr w:rsidR="005B4B47" w:rsidRPr="005B4B47" w14:paraId="58583EEC" w14:textId="77777777" w:rsidTr="005B4B47">
        <w:trPr>
          <w:trHeight w:val="458"/>
          <w:jc w:val="center"/>
        </w:trPr>
        <w:tc>
          <w:tcPr>
            <w:tcW w:w="10201" w:type="dxa"/>
          </w:tcPr>
          <w:p w14:paraId="1B063627" w14:textId="77777777"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Auf Schluckstörungen achten:</w:t>
            </w:r>
            <w:r w:rsidRPr="005B4B47">
              <w:rPr>
                <w:rFonts w:ascii="Arial" w:hAnsi="Arial" w:cs="Arial"/>
                <w:color w:val="000000" w:themeColor="text1"/>
                <w:sz w:val="24"/>
              </w:rPr>
              <w:t xml:space="preserve"> Schluckstörungen werden bei MS häufig unterschätzt. Achten Sie auf Husten beim Essen oder Trinken, Räuspern, häufiges Verschlucken oder eine „feuchte“ Stimme nach dem Schlucken. Lassen Sie Betroffene langsam essen und trinken und passen Sie die Konsistenz der Nahrung ggf. an. Beachten Sie hierbei den Expertenstandard „Ernährungsmanagement“. </w:t>
            </w:r>
          </w:p>
        </w:tc>
      </w:tr>
      <w:tr w:rsidR="005B4B47" w:rsidRPr="005B4B47" w14:paraId="6B04895F" w14:textId="77777777" w:rsidTr="005B4B47">
        <w:trPr>
          <w:trHeight w:val="345"/>
          <w:jc w:val="center"/>
        </w:trPr>
        <w:tc>
          <w:tcPr>
            <w:tcW w:w="10201" w:type="dxa"/>
          </w:tcPr>
          <w:p w14:paraId="4C72CBE2" w14:textId="77777777" w:rsidR="005B4B47" w:rsidRPr="005B4B47" w:rsidRDefault="005B4B47" w:rsidP="005B4B47">
            <w:pPr>
              <w:spacing w:before="120" w:after="120"/>
              <w:rPr>
                <w:rFonts w:ascii="Arial" w:hAnsi="Arial" w:cs="Arial"/>
                <w:color w:val="000000" w:themeColor="text1"/>
                <w:sz w:val="24"/>
              </w:rPr>
            </w:pPr>
            <w:r w:rsidRPr="005B4B47">
              <w:rPr>
                <w:rFonts w:ascii="Arial" w:hAnsi="Arial" w:cs="Arial"/>
                <w:b/>
                <w:bCs/>
                <w:color w:val="000000" w:themeColor="text1"/>
                <w:sz w:val="24"/>
              </w:rPr>
              <w:t>Psychische Belastungen ernst nehmen:</w:t>
            </w:r>
            <w:r w:rsidRPr="005B4B47">
              <w:rPr>
                <w:rFonts w:ascii="Arial" w:hAnsi="Arial" w:cs="Arial"/>
                <w:color w:val="000000" w:themeColor="text1"/>
                <w:sz w:val="24"/>
              </w:rPr>
              <w:t xml:space="preserve"> Viele Menschen mit MS leiden unter Ängsten, depressiven Verstimmungen oder sozialem Rückzug. Nehmen Sie diese Veränderungen ernst und schaffen Sie Raum für Gespräche. Verständnis, Geduld und eine wertschätzende Kommunikation können die Lebensqualität deutlich verbessern. </w:t>
            </w:r>
          </w:p>
        </w:tc>
      </w:tr>
    </w:tbl>
    <w:p w14:paraId="57093186" w14:textId="77777777" w:rsidR="005B4B47" w:rsidRDefault="005B4B47" w:rsidP="00581B4B"/>
    <w:p w14:paraId="0473155C" w14:textId="77777777" w:rsidR="008B0724" w:rsidRPr="00581B4B" w:rsidRDefault="008B0724" w:rsidP="00581B4B"/>
    <w:sectPr w:rsidR="008B0724" w:rsidRPr="00581B4B" w:rsidSect="005B4B47">
      <w:headerReference w:type="default" r:id="rId7"/>
      <w:pgSz w:w="11906" w:h="16838" w:code="9"/>
      <w:pgMar w:top="-1134"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13C850" w14:textId="77777777" w:rsidR="00F65B0D" w:rsidRDefault="00F65B0D" w:rsidP="002A5D13">
      <w:pPr>
        <w:spacing w:after="0" w:line="240" w:lineRule="auto"/>
      </w:pPr>
      <w:r>
        <w:separator/>
      </w:r>
    </w:p>
  </w:endnote>
  <w:endnote w:type="continuationSeparator" w:id="0">
    <w:p w14:paraId="46CD90C0" w14:textId="77777777" w:rsidR="00F65B0D" w:rsidRDefault="00F65B0D"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EAC8ED" w14:textId="77777777" w:rsidR="00F65B0D" w:rsidRDefault="00F65B0D" w:rsidP="002A5D13">
      <w:pPr>
        <w:spacing w:after="0" w:line="240" w:lineRule="auto"/>
      </w:pPr>
      <w:r>
        <w:separator/>
      </w:r>
    </w:p>
  </w:footnote>
  <w:footnote w:type="continuationSeparator" w:id="0">
    <w:p w14:paraId="0A476613" w14:textId="77777777" w:rsidR="00F65B0D" w:rsidRDefault="00F65B0D"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5540BCB6" w:rsidR="007A7CA7" w:rsidRPr="00E74AD6" w:rsidRDefault="00D97E25" w:rsidP="00D97E25">
          <w:pPr>
            <w:pStyle w:val="Kopfzeile"/>
            <w:jc w:val="center"/>
            <w:rPr>
              <w:b/>
              <w:color w:val="DAEEF3"/>
            </w:rPr>
          </w:pPr>
          <w:r>
            <w:rPr>
              <w:b/>
              <w:color w:val="DAEEF3"/>
              <w:sz w:val="24"/>
            </w:rPr>
            <w:t xml:space="preserve">Ausgabe </w:t>
          </w:r>
          <w:r w:rsidR="008B0724">
            <w:rPr>
              <w:b/>
              <w:color w:val="DAEEF3"/>
              <w:sz w:val="24"/>
            </w:rPr>
            <w:t>16</w:t>
          </w:r>
          <w:r w:rsidR="00A42A0D">
            <w:rPr>
              <w:b/>
              <w:color w:val="DAEEF3"/>
              <w:sz w:val="24"/>
            </w:rPr>
            <w:t xml:space="preserve"> - 20</w:t>
          </w:r>
          <w:r w:rsidR="009000A8">
            <w:rPr>
              <w:b/>
              <w:color w:val="DAEEF3"/>
              <w:sz w:val="24"/>
            </w:rPr>
            <w:t>2</w:t>
          </w:r>
          <w:r w:rsidR="002F41D3">
            <w:rPr>
              <w:b/>
              <w:color w:val="DAEEF3"/>
              <w:sz w:val="24"/>
            </w:rPr>
            <w:t>6</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1C23CC"/>
    <w:multiLevelType w:val="hybridMultilevel"/>
    <w:tmpl w:val="0AAA9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14"/>
  </w:num>
  <w:num w:numId="2" w16cid:durableId="1523666159">
    <w:abstractNumId w:val="25"/>
  </w:num>
  <w:num w:numId="3" w16cid:durableId="1865754299">
    <w:abstractNumId w:val="30"/>
  </w:num>
  <w:num w:numId="4" w16cid:durableId="818304963">
    <w:abstractNumId w:val="15"/>
  </w:num>
  <w:num w:numId="5" w16cid:durableId="909541012">
    <w:abstractNumId w:val="8"/>
  </w:num>
  <w:num w:numId="6" w16cid:durableId="1327440480">
    <w:abstractNumId w:val="12"/>
  </w:num>
  <w:num w:numId="7" w16cid:durableId="1965695332">
    <w:abstractNumId w:val="18"/>
  </w:num>
  <w:num w:numId="8" w16cid:durableId="1631742190">
    <w:abstractNumId w:val="17"/>
  </w:num>
  <w:num w:numId="9" w16cid:durableId="507452013">
    <w:abstractNumId w:val="13"/>
  </w:num>
  <w:num w:numId="10" w16cid:durableId="1380588834">
    <w:abstractNumId w:val="5"/>
  </w:num>
  <w:num w:numId="11" w16cid:durableId="905796348">
    <w:abstractNumId w:val="26"/>
  </w:num>
  <w:num w:numId="12" w16cid:durableId="561402115">
    <w:abstractNumId w:val="20"/>
  </w:num>
  <w:num w:numId="13" w16cid:durableId="2137408609">
    <w:abstractNumId w:val="21"/>
  </w:num>
  <w:num w:numId="14" w16cid:durableId="1825924056">
    <w:abstractNumId w:val="19"/>
  </w:num>
  <w:num w:numId="15" w16cid:durableId="1575043430">
    <w:abstractNumId w:val="22"/>
  </w:num>
  <w:num w:numId="16" w16cid:durableId="260797494">
    <w:abstractNumId w:val="23"/>
  </w:num>
  <w:num w:numId="17" w16cid:durableId="1416823773">
    <w:abstractNumId w:val="24"/>
  </w:num>
  <w:num w:numId="18" w16cid:durableId="870455365">
    <w:abstractNumId w:val="4"/>
  </w:num>
  <w:num w:numId="19" w16cid:durableId="352223203">
    <w:abstractNumId w:val="3"/>
  </w:num>
  <w:num w:numId="20" w16cid:durableId="859202725">
    <w:abstractNumId w:val="2"/>
  </w:num>
  <w:num w:numId="21" w16cid:durableId="767504800">
    <w:abstractNumId w:val="1"/>
  </w:num>
  <w:num w:numId="22" w16cid:durableId="1270619908">
    <w:abstractNumId w:val="0"/>
  </w:num>
  <w:num w:numId="23" w16cid:durableId="1497067334">
    <w:abstractNumId w:val="9"/>
  </w:num>
  <w:num w:numId="24" w16cid:durableId="756941337">
    <w:abstractNumId w:val="6"/>
  </w:num>
  <w:num w:numId="25" w16cid:durableId="1145244037">
    <w:abstractNumId w:val="7"/>
  </w:num>
  <w:num w:numId="26" w16cid:durableId="1266232381">
    <w:abstractNumId w:val="27"/>
  </w:num>
  <w:num w:numId="27" w16cid:durableId="379787300">
    <w:abstractNumId w:val="29"/>
  </w:num>
  <w:num w:numId="28" w16cid:durableId="424151893">
    <w:abstractNumId w:val="31"/>
  </w:num>
  <w:num w:numId="29" w16cid:durableId="107509980">
    <w:abstractNumId w:val="28"/>
  </w:num>
  <w:num w:numId="30" w16cid:durableId="223221979">
    <w:abstractNumId w:val="10"/>
  </w:num>
  <w:num w:numId="31" w16cid:durableId="817040694">
    <w:abstractNumId w:val="11"/>
  </w:num>
  <w:num w:numId="32" w16cid:durableId="211624224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4253"/>
    <w:rsid w:val="000A5044"/>
    <w:rsid w:val="000A7188"/>
    <w:rsid w:val="000B50CC"/>
    <w:rsid w:val="000C66D4"/>
    <w:rsid w:val="000C6A2D"/>
    <w:rsid w:val="0015409B"/>
    <w:rsid w:val="001B429B"/>
    <w:rsid w:val="001E33AA"/>
    <w:rsid w:val="00205D0C"/>
    <w:rsid w:val="00217E03"/>
    <w:rsid w:val="00243397"/>
    <w:rsid w:val="0027096C"/>
    <w:rsid w:val="002766CF"/>
    <w:rsid w:val="0028515F"/>
    <w:rsid w:val="002A5D13"/>
    <w:rsid w:val="002B029B"/>
    <w:rsid w:val="002B4419"/>
    <w:rsid w:val="002D45E4"/>
    <w:rsid w:val="002E4378"/>
    <w:rsid w:val="002F41D3"/>
    <w:rsid w:val="003676E3"/>
    <w:rsid w:val="00380EF0"/>
    <w:rsid w:val="003E3400"/>
    <w:rsid w:val="004338BC"/>
    <w:rsid w:val="00433F51"/>
    <w:rsid w:val="004639C0"/>
    <w:rsid w:val="004955F6"/>
    <w:rsid w:val="004A47F9"/>
    <w:rsid w:val="004C2396"/>
    <w:rsid w:val="00501C72"/>
    <w:rsid w:val="0050689E"/>
    <w:rsid w:val="00536E92"/>
    <w:rsid w:val="00551B88"/>
    <w:rsid w:val="00581B4B"/>
    <w:rsid w:val="00587D31"/>
    <w:rsid w:val="005B4B47"/>
    <w:rsid w:val="005D14F4"/>
    <w:rsid w:val="005E6B95"/>
    <w:rsid w:val="00614D0A"/>
    <w:rsid w:val="00644CE3"/>
    <w:rsid w:val="00653E72"/>
    <w:rsid w:val="00661981"/>
    <w:rsid w:val="006910F2"/>
    <w:rsid w:val="006A5CFE"/>
    <w:rsid w:val="006E18EF"/>
    <w:rsid w:val="00767817"/>
    <w:rsid w:val="007A7CA7"/>
    <w:rsid w:val="007B0290"/>
    <w:rsid w:val="007B1333"/>
    <w:rsid w:val="007C0AE5"/>
    <w:rsid w:val="007D2F6C"/>
    <w:rsid w:val="007D34A4"/>
    <w:rsid w:val="007E1A2E"/>
    <w:rsid w:val="00841FA8"/>
    <w:rsid w:val="008522CE"/>
    <w:rsid w:val="00852BFB"/>
    <w:rsid w:val="008633AC"/>
    <w:rsid w:val="00887070"/>
    <w:rsid w:val="008B0724"/>
    <w:rsid w:val="008B1F83"/>
    <w:rsid w:val="008C0D29"/>
    <w:rsid w:val="008D4072"/>
    <w:rsid w:val="008E62B1"/>
    <w:rsid w:val="009000A8"/>
    <w:rsid w:val="009352A5"/>
    <w:rsid w:val="00937B0B"/>
    <w:rsid w:val="009433D9"/>
    <w:rsid w:val="00983536"/>
    <w:rsid w:val="00985C2F"/>
    <w:rsid w:val="009A6365"/>
    <w:rsid w:val="009B721F"/>
    <w:rsid w:val="009E6591"/>
    <w:rsid w:val="009F64ED"/>
    <w:rsid w:val="00A06C64"/>
    <w:rsid w:val="00A42A0D"/>
    <w:rsid w:val="00A91563"/>
    <w:rsid w:val="00AD39D1"/>
    <w:rsid w:val="00AF17D9"/>
    <w:rsid w:val="00B01FFE"/>
    <w:rsid w:val="00B16885"/>
    <w:rsid w:val="00B67280"/>
    <w:rsid w:val="00B707AF"/>
    <w:rsid w:val="00B81586"/>
    <w:rsid w:val="00B87D52"/>
    <w:rsid w:val="00BD71E9"/>
    <w:rsid w:val="00C310AF"/>
    <w:rsid w:val="00C42D52"/>
    <w:rsid w:val="00C73E1A"/>
    <w:rsid w:val="00C91E68"/>
    <w:rsid w:val="00C9289F"/>
    <w:rsid w:val="00CC38C8"/>
    <w:rsid w:val="00CD4F0B"/>
    <w:rsid w:val="00D56265"/>
    <w:rsid w:val="00D6029A"/>
    <w:rsid w:val="00D935C2"/>
    <w:rsid w:val="00D96EA7"/>
    <w:rsid w:val="00D97E25"/>
    <w:rsid w:val="00DA1ADE"/>
    <w:rsid w:val="00DB32C7"/>
    <w:rsid w:val="00DD233A"/>
    <w:rsid w:val="00E028D9"/>
    <w:rsid w:val="00E2265E"/>
    <w:rsid w:val="00E74AD6"/>
    <w:rsid w:val="00ED7053"/>
    <w:rsid w:val="00F20663"/>
    <w:rsid w:val="00F57C10"/>
    <w:rsid w:val="00F65B0D"/>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3975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2026-06-28T19:33:00Z</dcterms:created>
  <dcterms:modified xsi:type="dcterms:W3CDTF">2026-06-28T19:33:00Z</dcterms:modified>
</cp:coreProperties>
</file>