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C5824" w14:textId="77777777" w:rsidR="002A5D13" w:rsidRDefault="007A7CA7" w:rsidP="00303DAD">
      <w:pPr>
        <w:tabs>
          <w:tab w:val="left" w:pos="1851"/>
          <w:tab w:val="left" w:pos="5280"/>
        </w:tabs>
        <w:rPr>
          <w:b/>
          <w:noProof/>
          <w:lang w:eastAsia="de-DE"/>
        </w:rPr>
      </w:pPr>
      <w:r>
        <w:rPr>
          <w:b/>
          <w:noProof/>
          <w:lang w:eastAsia="de-DE"/>
        </w:rPr>
        <w:tab/>
      </w:r>
      <w:r w:rsidR="00303DAD">
        <w:rPr>
          <w:b/>
          <w:noProof/>
          <w:lang w:eastAsia="de-DE"/>
        </w:rPr>
        <w:tab/>
      </w:r>
    </w:p>
    <w:p w14:paraId="7D4E338B" w14:textId="77777777" w:rsidR="00C73E1A" w:rsidRDefault="007A7CA7" w:rsidP="00EF43D3">
      <w:pPr>
        <w:tabs>
          <w:tab w:val="left" w:pos="1515"/>
          <w:tab w:val="left" w:pos="2430"/>
          <w:tab w:val="left" w:pos="4185"/>
          <w:tab w:val="left" w:pos="6900"/>
        </w:tabs>
      </w:pPr>
      <w:r>
        <w:tab/>
      </w:r>
      <w:r w:rsidR="00EF43D3">
        <w:tab/>
      </w:r>
      <w:r>
        <w:tab/>
      </w:r>
      <w:r w:rsidR="00B707AF">
        <w:tab/>
      </w:r>
    </w:p>
    <w:p w14:paraId="27E5AD81" w14:textId="7E1731CD" w:rsidR="00C61190" w:rsidRDefault="006E18EF" w:rsidP="00C61190">
      <w:pPr>
        <w:tabs>
          <w:tab w:val="left" w:pos="2430"/>
        </w:tabs>
      </w:pPr>
      <w:r>
        <w:tab/>
      </w:r>
    </w:p>
    <w:p w14:paraId="7CB9251D" w14:textId="77777777" w:rsidR="00C61190" w:rsidRPr="00C61190" w:rsidRDefault="00C61190" w:rsidP="00C61190">
      <w:pPr>
        <w:autoSpaceDE w:val="0"/>
        <w:autoSpaceDN w:val="0"/>
        <w:adjustRightInd w:val="0"/>
        <w:spacing w:after="0" w:line="240" w:lineRule="auto"/>
        <w:rPr>
          <w:rFonts w:ascii="DIN Condensed" w:hAnsi="DIN Condensed" w:cs="DIN Condensed"/>
          <w:color w:val="000000"/>
          <w:sz w:val="24"/>
          <w:szCs w:val="24"/>
          <w:lang w:eastAsia="de-DE"/>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6804"/>
      </w:tblGrid>
      <w:tr w:rsidR="00C61190" w:rsidRPr="00C61190" w14:paraId="3960C9FF" w14:textId="77777777" w:rsidTr="001C11A5">
        <w:trPr>
          <w:trHeight w:val="360"/>
          <w:jc w:val="center"/>
        </w:trPr>
        <w:tc>
          <w:tcPr>
            <w:tcW w:w="9067" w:type="dxa"/>
            <w:gridSpan w:val="2"/>
            <w:shd w:val="clear" w:color="auto" w:fill="82AFA7"/>
          </w:tcPr>
          <w:p w14:paraId="65D1B6DB" w14:textId="2D40BF9B" w:rsidR="00C61190" w:rsidRPr="00C61190" w:rsidRDefault="001C11A5" w:rsidP="00C61190">
            <w:pPr>
              <w:spacing w:before="120" w:after="120"/>
              <w:rPr>
                <w:rFonts w:ascii="Arial" w:hAnsi="Arial" w:cs="Arial"/>
                <w:b/>
                <w:color w:val="000000" w:themeColor="text1"/>
                <w:sz w:val="28"/>
                <w:szCs w:val="28"/>
              </w:rPr>
            </w:pPr>
            <w:r w:rsidRPr="001C11A5">
              <w:rPr>
                <w:rFonts w:ascii="Arial" w:hAnsi="Arial" w:cs="Arial"/>
                <w:b/>
                <w:color w:val="000000" w:themeColor="text1"/>
                <w:sz w:val="28"/>
                <w:szCs w:val="28"/>
              </w:rPr>
              <w:t>Übersicht: Die 4 Säulen der Einzugsgenehmigung</w:t>
            </w:r>
          </w:p>
        </w:tc>
      </w:tr>
      <w:tr w:rsidR="001C11A5" w:rsidRPr="00A52A95" w14:paraId="73DD5C36" w14:textId="77777777" w:rsidTr="001C11A5">
        <w:trPr>
          <w:trHeight w:val="114"/>
          <w:jc w:val="center"/>
        </w:trPr>
        <w:tc>
          <w:tcPr>
            <w:tcW w:w="2263" w:type="dxa"/>
            <w:shd w:val="clear" w:color="auto" w:fill="F6A0A2"/>
          </w:tcPr>
          <w:p w14:paraId="6F23717A" w14:textId="3A0C16C8" w:rsidR="001C11A5" w:rsidRPr="00A52A95" w:rsidRDefault="001C11A5" w:rsidP="001C11A5">
            <w:pPr>
              <w:spacing w:before="120" w:after="120"/>
              <w:rPr>
                <w:rFonts w:ascii="Arial" w:hAnsi="Arial" w:cs="Arial"/>
                <w:b/>
                <w:color w:val="000000" w:themeColor="text1"/>
                <w:sz w:val="24"/>
                <w:szCs w:val="24"/>
              </w:rPr>
            </w:pPr>
            <w:r w:rsidRPr="001C11A5">
              <w:rPr>
                <w:rFonts w:ascii="Arial" w:hAnsi="Arial" w:cs="Arial"/>
                <w:b/>
                <w:color w:val="000000" w:themeColor="text1"/>
                <w:sz w:val="24"/>
                <w:szCs w:val="24"/>
              </w:rPr>
              <w:t>Das Kriterium</w:t>
            </w:r>
          </w:p>
        </w:tc>
        <w:tc>
          <w:tcPr>
            <w:tcW w:w="6804" w:type="dxa"/>
            <w:shd w:val="clear" w:color="auto" w:fill="F6A0A2"/>
          </w:tcPr>
          <w:p w14:paraId="0AD04B17" w14:textId="3EA3C92A" w:rsidR="001C11A5" w:rsidRPr="00A52A95" w:rsidRDefault="001C11A5" w:rsidP="001C11A5">
            <w:pPr>
              <w:spacing w:before="120" w:after="120"/>
              <w:rPr>
                <w:rFonts w:ascii="Arial" w:hAnsi="Arial" w:cs="Arial"/>
                <w:b/>
                <w:color w:val="000000" w:themeColor="text1"/>
                <w:sz w:val="24"/>
                <w:szCs w:val="24"/>
              </w:rPr>
            </w:pPr>
            <w:r w:rsidRPr="001C11A5">
              <w:rPr>
                <w:rFonts w:ascii="Arial" w:hAnsi="Arial" w:cs="Arial"/>
                <w:b/>
                <w:color w:val="000000" w:themeColor="text1"/>
                <w:sz w:val="24"/>
                <w:szCs w:val="24"/>
              </w:rPr>
              <w:t>Das müssen Sie prüfen (Nachweise)</w:t>
            </w:r>
          </w:p>
        </w:tc>
      </w:tr>
      <w:tr w:rsidR="001C11A5" w:rsidRPr="000370E7" w14:paraId="5F453D7F" w14:textId="77777777" w:rsidTr="001C11A5">
        <w:trPr>
          <w:trHeight w:val="114"/>
          <w:jc w:val="center"/>
        </w:trPr>
        <w:tc>
          <w:tcPr>
            <w:tcW w:w="2263" w:type="dxa"/>
          </w:tcPr>
          <w:p w14:paraId="7F8D5914" w14:textId="7930CFC2" w:rsidR="001C11A5" w:rsidRPr="000370E7" w:rsidRDefault="001C11A5" w:rsidP="001C11A5">
            <w:pPr>
              <w:spacing w:before="120" w:after="120"/>
              <w:rPr>
                <w:rFonts w:ascii="Arial" w:hAnsi="Arial" w:cs="Arial"/>
                <w:bCs/>
                <w:color w:val="000000" w:themeColor="text1"/>
                <w:sz w:val="24"/>
                <w:szCs w:val="24"/>
              </w:rPr>
            </w:pPr>
            <w:r w:rsidRPr="001C11A5">
              <w:rPr>
                <w:rFonts w:ascii="Arial" w:hAnsi="Arial" w:cs="Arial"/>
                <w:bCs/>
                <w:color w:val="000000" w:themeColor="text1"/>
                <w:sz w:val="24"/>
                <w:szCs w:val="24"/>
              </w:rPr>
              <w:t>1. Die Haftung</w:t>
            </w:r>
          </w:p>
        </w:tc>
        <w:tc>
          <w:tcPr>
            <w:tcW w:w="6804" w:type="dxa"/>
          </w:tcPr>
          <w:p w14:paraId="34C0B0A3" w14:textId="663B9AD4" w:rsidR="001C11A5" w:rsidRPr="000370E7" w:rsidRDefault="001C11A5" w:rsidP="001C11A5">
            <w:pPr>
              <w:spacing w:before="120" w:after="120"/>
              <w:rPr>
                <w:rFonts w:ascii="Arial" w:hAnsi="Arial" w:cs="Arial"/>
                <w:bCs/>
                <w:color w:val="000000" w:themeColor="text1"/>
                <w:sz w:val="24"/>
                <w:szCs w:val="24"/>
              </w:rPr>
            </w:pPr>
            <w:r w:rsidRPr="001C11A5">
              <w:rPr>
                <w:rFonts w:ascii="Arial" w:hAnsi="Arial" w:cs="Arial"/>
                <w:bCs/>
                <w:color w:val="000000" w:themeColor="text1"/>
                <w:sz w:val="24"/>
                <w:szCs w:val="24"/>
              </w:rPr>
              <w:t>Liegt eine gültige Police der Tierhalterhaftpflichtversicherung vor? Prüfen Sie genau: Ist der Beitrag bezahlt? Sind Mietschäden an Gebäuden und Inventar abgedeckt? Ohne diesen Schutz ist das finanzielle Risiko für die Einrichtung unkalkulierbar.</w:t>
            </w:r>
          </w:p>
        </w:tc>
      </w:tr>
      <w:tr w:rsidR="001C11A5" w:rsidRPr="000370E7" w14:paraId="2DDA14A7" w14:textId="77777777" w:rsidTr="001C11A5">
        <w:trPr>
          <w:trHeight w:val="114"/>
          <w:jc w:val="center"/>
        </w:trPr>
        <w:tc>
          <w:tcPr>
            <w:tcW w:w="2263" w:type="dxa"/>
          </w:tcPr>
          <w:p w14:paraId="20E2E74A" w14:textId="567011C0" w:rsidR="001C11A5" w:rsidRPr="00303ED0" w:rsidRDefault="001C11A5" w:rsidP="001C11A5">
            <w:pPr>
              <w:spacing w:before="120" w:after="120"/>
              <w:rPr>
                <w:rFonts w:ascii="Arial" w:hAnsi="Arial" w:cs="Arial"/>
                <w:bCs/>
                <w:color w:val="000000" w:themeColor="text1"/>
                <w:sz w:val="24"/>
                <w:szCs w:val="24"/>
              </w:rPr>
            </w:pPr>
            <w:r w:rsidRPr="001C11A5">
              <w:rPr>
                <w:rFonts w:ascii="Arial" w:hAnsi="Arial" w:cs="Arial"/>
                <w:bCs/>
                <w:color w:val="000000" w:themeColor="text1"/>
                <w:sz w:val="24"/>
                <w:szCs w:val="24"/>
              </w:rPr>
              <w:t>2. Die Gesundheit</w:t>
            </w:r>
          </w:p>
        </w:tc>
        <w:tc>
          <w:tcPr>
            <w:tcW w:w="6804" w:type="dxa"/>
          </w:tcPr>
          <w:p w14:paraId="3BCFCC36" w14:textId="501EC221" w:rsidR="001C11A5" w:rsidRPr="00303ED0" w:rsidRDefault="001C11A5" w:rsidP="001C11A5">
            <w:pPr>
              <w:spacing w:before="120" w:after="120"/>
              <w:rPr>
                <w:rFonts w:ascii="Arial" w:hAnsi="Arial" w:cs="Arial"/>
                <w:bCs/>
                <w:color w:val="000000" w:themeColor="text1"/>
                <w:sz w:val="24"/>
                <w:szCs w:val="24"/>
              </w:rPr>
            </w:pPr>
            <w:r w:rsidRPr="001C11A5">
              <w:rPr>
                <w:rFonts w:ascii="Arial" w:hAnsi="Arial" w:cs="Arial"/>
                <w:bCs/>
                <w:color w:val="000000" w:themeColor="text1"/>
                <w:sz w:val="24"/>
                <w:szCs w:val="24"/>
              </w:rPr>
              <w:t>Fordern Sie ein aktuelles tierärztliches Attest. Das Tier muss nachweislich geimpft, entwurmt und frei von Parasiten (Flöhen/Milben) sein. Dies dient dem Schutz der Mitbewohner und des Personals.</w:t>
            </w:r>
          </w:p>
        </w:tc>
      </w:tr>
      <w:tr w:rsidR="001C11A5" w:rsidRPr="000370E7" w14:paraId="045B3BB3" w14:textId="77777777" w:rsidTr="001C11A5">
        <w:trPr>
          <w:trHeight w:val="114"/>
          <w:jc w:val="center"/>
        </w:trPr>
        <w:tc>
          <w:tcPr>
            <w:tcW w:w="2263" w:type="dxa"/>
          </w:tcPr>
          <w:p w14:paraId="72FB6D56" w14:textId="7316C5CD" w:rsidR="001C11A5" w:rsidRPr="00303ED0" w:rsidRDefault="001C11A5" w:rsidP="001C11A5">
            <w:pPr>
              <w:spacing w:before="120" w:after="120"/>
              <w:rPr>
                <w:rFonts w:ascii="Arial" w:hAnsi="Arial" w:cs="Arial"/>
                <w:bCs/>
                <w:color w:val="000000" w:themeColor="text1"/>
                <w:sz w:val="24"/>
                <w:szCs w:val="24"/>
              </w:rPr>
            </w:pPr>
            <w:r w:rsidRPr="001C11A5">
              <w:rPr>
                <w:rFonts w:ascii="Arial" w:hAnsi="Arial" w:cs="Arial"/>
                <w:bCs/>
                <w:color w:val="000000" w:themeColor="text1"/>
                <w:sz w:val="24"/>
                <w:szCs w:val="24"/>
              </w:rPr>
              <w:t>3. Der Notfall-Pate</w:t>
            </w:r>
          </w:p>
        </w:tc>
        <w:tc>
          <w:tcPr>
            <w:tcW w:w="6804" w:type="dxa"/>
          </w:tcPr>
          <w:p w14:paraId="329E7780" w14:textId="1DC44DF1" w:rsidR="001C11A5" w:rsidRPr="00303ED0" w:rsidRDefault="001C11A5" w:rsidP="001C11A5">
            <w:pPr>
              <w:spacing w:before="120" w:after="120"/>
              <w:rPr>
                <w:rFonts w:ascii="Arial" w:hAnsi="Arial" w:cs="Arial"/>
                <w:bCs/>
                <w:color w:val="000000" w:themeColor="text1"/>
                <w:sz w:val="24"/>
                <w:szCs w:val="24"/>
              </w:rPr>
            </w:pPr>
            <w:r w:rsidRPr="001C11A5">
              <w:rPr>
                <w:rFonts w:ascii="Arial" w:hAnsi="Arial" w:cs="Arial"/>
                <w:bCs/>
                <w:color w:val="000000" w:themeColor="text1"/>
                <w:sz w:val="24"/>
                <w:szCs w:val="24"/>
              </w:rPr>
              <w:t>Wer kümmert sich, wenn der Bewohner ins Krankenhaus muss oder verstirbt? Es muss eine konkrete Person (Name, Telefonnummer, Unterschrift) benannt sein, die das Tier im Notfall sofort übernimmt. Das Pflegeheim ist kein Tierheim.</w:t>
            </w:r>
          </w:p>
        </w:tc>
      </w:tr>
      <w:tr w:rsidR="001C11A5" w:rsidRPr="000370E7" w14:paraId="7FBC1BD0" w14:textId="77777777" w:rsidTr="001C11A5">
        <w:trPr>
          <w:trHeight w:val="114"/>
          <w:jc w:val="center"/>
        </w:trPr>
        <w:tc>
          <w:tcPr>
            <w:tcW w:w="2263" w:type="dxa"/>
          </w:tcPr>
          <w:p w14:paraId="6EB0882A" w14:textId="7E2D2DA5" w:rsidR="001C11A5" w:rsidRPr="00303ED0" w:rsidRDefault="001C11A5" w:rsidP="001C11A5">
            <w:pPr>
              <w:spacing w:before="120" w:after="120"/>
              <w:rPr>
                <w:rFonts w:ascii="Arial" w:hAnsi="Arial" w:cs="Arial"/>
                <w:bCs/>
                <w:color w:val="000000" w:themeColor="text1"/>
                <w:sz w:val="24"/>
                <w:szCs w:val="24"/>
              </w:rPr>
            </w:pPr>
            <w:r w:rsidRPr="001C11A5">
              <w:rPr>
                <w:rFonts w:ascii="Arial" w:hAnsi="Arial" w:cs="Arial"/>
                <w:bCs/>
                <w:color w:val="000000" w:themeColor="text1"/>
                <w:sz w:val="24"/>
                <w:szCs w:val="24"/>
              </w:rPr>
              <w:t>4. Die Logistik</w:t>
            </w:r>
          </w:p>
        </w:tc>
        <w:tc>
          <w:tcPr>
            <w:tcW w:w="6804" w:type="dxa"/>
          </w:tcPr>
          <w:p w14:paraId="05649BDD" w14:textId="10002506" w:rsidR="001C11A5" w:rsidRPr="00303ED0" w:rsidRDefault="001C11A5" w:rsidP="001C11A5">
            <w:pPr>
              <w:spacing w:before="120" w:after="120"/>
              <w:rPr>
                <w:rFonts w:ascii="Arial" w:hAnsi="Arial" w:cs="Arial"/>
                <w:bCs/>
                <w:color w:val="000000" w:themeColor="text1"/>
                <w:sz w:val="24"/>
                <w:szCs w:val="24"/>
              </w:rPr>
            </w:pPr>
            <w:r w:rsidRPr="001C11A5">
              <w:rPr>
                <w:rFonts w:ascii="Arial" w:hAnsi="Arial" w:cs="Arial"/>
                <w:bCs/>
                <w:color w:val="000000" w:themeColor="text1"/>
                <w:sz w:val="24"/>
                <w:szCs w:val="24"/>
              </w:rPr>
              <w:t>Ist die Versorgungskette gesichert? Wer kauft das Futter? Wo wird es gelagert (nicht im Stationskühlschrank!)? Wer reinigt den Käfig oder die Katzentoilette?</w:t>
            </w:r>
          </w:p>
        </w:tc>
      </w:tr>
    </w:tbl>
    <w:p w14:paraId="19E41637" w14:textId="77777777" w:rsidR="001C11A5" w:rsidRDefault="001C11A5" w:rsidP="00C73E1A"/>
    <w:sectPr w:rsidR="001C11A5" w:rsidSect="00C61190">
      <w:headerReference w:type="default" r:id="rId9"/>
      <w:pgSz w:w="11906" w:h="16838" w:code="9"/>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CE9FB" w14:textId="77777777" w:rsidR="00F64641" w:rsidRDefault="00F64641" w:rsidP="002A5D13">
      <w:pPr>
        <w:spacing w:after="0" w:line="240" w:lineRule="auto"/>
      </w:pPr>
      <w:r>
        <w:separator/>
      </w:r>
    </w:p>
  </w:endnote>
  <w:endnote w:type="continuationSeparator" w:id="0">
    <w:p w14:paraId="74DF285C" w14:textId="77777777" w:rsidR="00F64641" w:rsidRDefault="00F64641"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IN Condense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52B3E" w14:textId="77777777" w:rsidR="00F64641" w:rsidRDefault="00F64641" w:rsidP="002A5D13">
      <w:pPr>
        <w:spacing w:after="0" w:line="240" w:lineRule="auto"/>
      </w:pPr>
      <w:r>
        <w:separator/>
      </w:r>
    </w:p>
  </w:footnote>
  <w:footnote w:type="continuationSeparator" w:id="0">
    <w:p w14:paraId="2718A1E2" w14:textId="77777777" w:rsidR="00F64641" w:rsidRDefault="00F64641" w:rsidP="002A5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2721"/>
      <w:gridCol w:w="6349"/>
    </w:tblGrid>
    <w:tr w:rsidR="0050689E" w14:paraId="3D6098E7" w14:textId="77777777" w:rsidTr="0033635C">
      <w:tc>
        <w:tcPr>
          <w:tcW w:w="1500" w:type="pct"/>
          <w:tcBorders>
            <w:bottom w:val="single" w:sz="4" w:space="0" w:color="auto"/>
          </w:tcBorders>
          <w:shd w:val="clear" w:color="auto" w:fill="F27173"/>
          <w:vAlign w:val="center"/>
        </w:tcPr>
        <w:p w14:paraId="0F27D582" w14:textId="75FE4D28" w:rsidR="007A7CA7" w:rsidRPr="00DD7135" w:rsidRDefault="00EF43D3" w:rsidP="00EF43D3">
          <w:pPr>
            <w:pStyle w:val="Kopfzeile"/>
            <w:jc w:val="center"/>
            <w:rPr>
              <w:b/>
            </w:rPr>
          </w:pPr>
          <w:r w:rsidRPr="00DD7135">
            <w:rPr>
              <w:b/>
              <w:sz w:val="24"/>
            </w:rPr>
            <w:t xml:space="preserve">Ausgabe </w:t>
          </w:r>
          <w:r w:rsidR="0062722F">
            <w:rPr>
              <w:b/>
              <w:sz w:val="24"/>
            </w:rPr>
            <w:t>16</w:t>
          </w:r>
          <w:r w:rsidR="002C30B2" w:rsidRPr="00DD7135">
            <w:rPr>
              <w:b/>
              <w:sz w:val="24"/>
            </w:rPr>
            <w:t xml:space="preserve"> - 20</w:t>
          </w:r>
          <w:r w:rsidR="00DD7135" w:rsidRPr="00DD7135">
            <w:rPr>
              <w:b/>
              <w:sz w:val="24"/>
            </w:rPr>
            <w:t>2</w:t>
          </w:r>
          <w:r w:rsidR="00E74595">
            <w:rPr>
              <w:b/>
              <w:sz w:val="24"/>
            </w:rPr>
            <w:t>6</w:t>
          </w:r>
        </w:p>
      </w:tc>
      <w:tc>
        <w:tcPr>
          <w:tcW w:w="4000" w:type="pct"/>
          <w:tcBorders>
            <w:bottom w:val="single" w:sz="4" w:space="0" w:color="auto"/>
          </w:tcBorders>
          <w:vAlign w:val="bottom"/>
        </w:tcPr>
        <w:p w14:paraId="79EE1320" w14:textId="46833442" w:rsidR="008522CE" w:rsidRPr="00C70FB3" w:rsidRDefault="0033635C" w:rsidP="0033635C">
          <w:pPr>
            <w:pStyle w:val="Kopfzeile"/>
            <w:jc w:val="center"/>
            <w:rPr>
              <w:rFonts w:ascii="Tahoma" w:hAnsi="Tahoma" w:cs="Tahoma"/>
              <w:b/>
              <w:bCs/>
              <w:color w:val="000000" w:themeColor="text1"/>
              <w:sz w:val="16"/>
            </w:rPr>
          </w:pPr>
          <w:r w:rsidRPr="0033635C">
            <w:rPr>
              <w:b/>
              <w:noProof/>
              <w:color w:val="FFFFFF" w:themeColor="background1"/>
              <w:sz w:val="40"/>
              <w:szCs w:val="24"/>
            </w:rPr>
            <w:drawing>
              <wp:inline distT="0" distB="0" distL="0" distR="0" wp14:anchorId="3278ABA2" wp14:editId="309D20AE">
                <wp:extent cx="2659380" cy="852937"/>
                <wp:effectExtent l="0" t="0" r="7620" b="4445"/>
                <wp:docPr id="13980572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057261" name=""/>
                        <pic:cNvPicPr/>
                      </pic:nvPicPr>
                      <pic:blipFill>
                        <a:blip r:embed="rId1"/>
                        <a:stretch>
                          <a:fillRect/>
                        </a:stretch>
                      </pic:blipFill>
                      <pic:spPr>
                        <a:xfrm>
                          <a:off x="0" y="0"/>
                          <a:ext cx="2712056" cy="869832"/>
                        </a:xfrm>
                        <a:prstGeom prst="rect">
                          <a:avLst/>
                        </a:prstGeom>
                      </pic:spPr>
                    </pic:pic>
                  </a:graphicData>
                </a:graphic>
              </wp:inline>
            </w:drawing>
          </w:r>
        </w:p>
      </w:tc>
    </w:tr>
  </w:tbl>
  <w:p w14:paraId="3DD6AD82" w14:textId="77777777" w:rsidR="007A7CA7" w:rsidRDefault="007A7CA7">
    <w:pPr>
      <w:pStyle w:val="Kopfzeile"/>
    </w:pPr>
  </w:p>
  <w:p w14:paraId="6FCB3B07" w14:textId="77777777" w:rsidR="007A7CA7" w:rsidRDefault="007A7C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3" w15:restartNumberingAfterBreak="0">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4" w15:restartNumberingAfterBreak="0">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5" w15:restartNumberingAfterBreak="0">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6" w15:restartNumberingAfterBreak="0">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7" w15:restartNumberingAfterBreak="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8" w15:restartNumberingAfterBreak="0">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9" w15:restartNumberingAfterBreak="0">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01729000">
    <w:abstractNumId w:val="9"/>
  </w:num>
  <w:num w:numId="2" w16cid:durableId="1000696356">
    <w:abstractNumId w:val="19"/>
  </w:num>
  <w:num w:numId="3" w16cid:durableId="622343131">
    <w:abstractNumId w:val="21"/>
  </w:num>
  <w:num w:numId="4" w16cid:durableId="2098211513">
    <w:abstractNumId w:val="10"/>
  </w:num>
  <w:num w:numId="5" w16cid:durableId="1446730418">
    <w:abstractNumId w:val="6"/>
  </w:num>
  <w:num w:numId="6" w16cid:durableId="1411586306">
    <w:abstractNumId w:val="7"/>
  </w:num>
  <w:num w:numId="7" w16cid:durableId="94787950">
    <w:abstractNumId w:val="12"/>
  </w:num>
  <w:num w:numId="8" w16cid:durableId="1669751253">
    <w:abstractNumId w:val="11"/>
  </w:num>
  <w:num w:numId="9" w16cid:durableId="786630957">
    <w:abstractNumId w:val="8"/>
  </w:num>
  <w:num w:numId="10" w16cid:durableId="1424759463">
    <w:abstractNumId w:val="5"/>
  </w:num>
  <w:num w:numId="11" w16cid:durableId="1814102308">
    <w:abstractNumId w:val="20"/>
  </w:num>
  <w:num w:numId="12" w16cid:durableId="269510518">
    <w:abstractNumId w:val="14"/>
  </w:num>
  <w:num w:numId="13" w16cid:durableId="2119713375">
    <w:abstractNumId w:val="15"/>
  </w:num>
  <w:num w:numId="14" w16cid:durableId="1635139796">
    <w:abstractNumId w:val="13"/>
  </w:num>
  <w:num w:numId="15" w16cid:durableId="1498955337">
    <w:abstractNumId w:val="16"/>
  </w:num>
  <w:num w:numId="16" w16cid:durableId="396052214">
    <w:abstractNumId w:val="17"/>
  </w:num>
  <w:num w:numId="17" w16cid:durableId="2053142037">
    <w:abstractNumId w:val="18"/>
  </w:num>
  <w:num w:numId="18" w16cid:durableId="1182740916">
    <w:abstractNumId w:val="4"/>
  </w:num>
  <w:num w:numId="19" w16cid:durableId="409348678">
    <w:abstractNumId w:val="3"/>
  </w:num>
  <w:num w:numId="20" w16cid:durableId="1163659882">
    <w:abstractNumId w:val="2"/>
  </w:num>
  <w:num w:numId="21" w16cid:durableId="1687554977">
    <w:abstractNumId w:val="1"/>
  </w:num>
  <w:num w:numId="22" w16cid:durableId="998002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5F"/>
    <w:rsid w:val="00022C51"/>
    <w:rsid w:val="00032A0C"/>
    <w:rsid w:val="000370E7"/>
    <w:rsid w:val="00052357"/>
    <w:rsid w:val="00063B2B"/>
    <w:rsid w:val="000B50CC"/>
    <w:rsid w:val="000C6A2D"/>
    <w:rsid w:val="001252A1"/>
    <w:rsid w:val="0015409B"/>
    <w:rsid w:val="00196105"/>
    <w:rsid w:val="001B429B"/>
    <w:rsid w:val="001C11A5"/>
    <w:rsid w:val="00201AC4"/>
    <w:rsid w:val="00205D0C"/>
    <w:rsid w:val="00270834"/>
    <w:rsid w:val="0027096C"/>
    <w:rsid w:val="002766CF"/>
    <w:rsid w:val="0028515F"/>
    <w:rsid w:val="002A37ED"/>
    <w:rsid w:val="002A5D13"/>
    <w:rsid w:val="002B029B"/>
    <w:rsid w:val="002B328E"/>
    <w:rsid w:val="002B4419"/>
    <w:rsid w:val="002C30B2"/>
    <w:rsid w:val="002D45E4"/>
    <w:rsid w:val="002E4378"/>
    <w:rsid w:val="00303DAD"/>
    <w:rsid w:val="00303ED0"/>
    <w:rsid w:val="0033635C"/>
    <w:rsid w:val="003676E3"/>
    <w:rsid w:val="00380EF0"/>
    <w:rsid w:val="003E3400"/>
    <w:rsid w:val="00415088"/>
    <w:rsid w:val="00433F51"/>
    <w:rsid w:val="0045388D"/>
    <w:rsid w:val="004556ED"/>
    <w:rsid w:val="004639C0"/>
    <w:rsid w:val="004955F6"/>
    <w:rsid w:val="004A47F9"/>
    <w:rsid w:val="004B7939"/>
    <w:rsid w:val="004C2396"/>
    <w:rsid w:val="004C5FDB"/>
    <w:rsid w:val="0050689E"/>
    <w:rsid w:val="00551B88"/>
    <w:rsid w:val="00564F50"/>
    <w:rsid w:val="00587D31"/>
    <w:rsid w:val="00596F46"/>
    <w:rsid w:val="005B6F38"/>
    <w:rsid w:val="005E5BB1"/>
    <w:rsid w:val="00614D0A"/>
    <w:rsid w:val="0062722F"/>
    <w:rsid w:val="006365AC"/>
    <w:rsid w:val="00653E72"/>
    <w:rsid w:val="00661981"/>
    <w:rsid w:val="006A5CFE"/>
    <w:rsid w:val="006B2EF6"/>
    <w:rsid w:val="006E18EF"/>
    <w:rsid w:val="006F5300"/>
    <w:rsid w:val="007A7CA7"/>
    <w:rsid w:val="007B0290"/>
    <w:rsid w:val="007C0AE5"/>
    <w:rsid w:val="007E1A2E"/>
    <w:rsid w:val="007F12A4"/>
    <w:rsid w:val="00841FA8"/>
    <w:rsid w:val="008422EC"/>
    <w:rsid w:val="008522CE"/>
    <w:rsid w:val="00852BFB"/>
    <w:rsid w:val="008633AC"/>
    <w:rsid w:val="00887070"/>
    <w:rsid w:val="008B1F83"/>
    <w:rsid w:val="008E62B1"/>
    <w:rsid w:val="009261A4"/>
    <w:rsid w:val="00937B0B"/>
    <w:rsid w:val="009433D9"/>
    <w:rsid w:val="00970B2A"/>
    <w:rsid w:val="00983536"/>
    <w:rsid w:val="009B721F"/>
    <w:rsid w:val="00A06C64"/>
    <w:rsid w:val="00A14A7E"/>
    <w:rsid w:val="00A52A95"/>
    <w:rsid w:val="00A553E6"/>
    <w:rsid w:val="00A86F99"/>
    <w:rsid w:val="00AB310E"/>
    <w:rsid w:val="00B01FFE"/>
    <w:rsid w:val="00B707AF"/>
    <w:rsid w:val="00B87D52"/>
    <w:rsid w:val="00BD71E9"/>
    <w:rsid w:val="00C0431A"/>
    <w:rsid w:val="00C310AF"/>
    <w:rsid w:val="00C47118"/>
    <w:rsid w:val="00C61190"/>
    <w:rsid w:val="00C70FB3"/>
    <w:rsid w:val="00C73E1A"/>
    <w:rsid w:val="00CC38C8"/>
    <w:rsid w:val="00D16DFE"/>
    <w:rsid w:val="00DB32C7"/>
    <w:rsid w:val="00DD7135"/>
    <w:rsid w:val="00DE1518"/>
    <w:rsid w:val="00DE1767"/>
    <w:rsid w:val="00E2265E"/>
    <w:rsid w:val="00E74595"/>
    <w:rsid w:val="00EF43D3"/>
    <w:rsid w:val="00F20663"/>
    <w:rsid w:val="00F24929"/>
    <w:rsid w:val="00F4351E"/>
    <w:rsid w:val="00F64641"/>
    <w:rsid w:val="00FA19D7"/>
    <w:rsid w:val="00FC278E"/>
    <w:rsid w:val="00FD32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5B64D"/>
  <w15:chartTrackingRefBased/>
  <w15:docId w15:val="{62C448B1-2AC7-4287-9EB5-C213B8FD9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customStyle="1" w:styleId="Default">
    <w:name w:val="Default"/>
    <w:rsid w:val="00201AC4"/>
    <w:pPr>
      <w:autoSpaceDE w:val="0"/>
      <w:autoSpaceDN w:val="0"/>
      <w:adjustRightInd w:val="0"/>
    </w:pPr>
    <w:rPr>
      <w:rFonts w:ascii="DIN Condensed" w:hAnsi="DIN Condensed" w:cs="DIN Condensed"/>
      <w:color w:val="000000"/>
      <w:sz w:val="24"/>
      <w:szCs w:val="24"/>
    </w:rPr>
  </w:style>
  <w:style w:type="paragraph" w:customStyle="1" w:styleId="Pa10">
    <w:name w:val="Pa10"/>
    <w:basedOn w:val="Default"/>
    <w:next w:val="Default"/>
    <w:uiPriority w:val="99"/>
    <w:rsid w:val="00201AC4"/>
    <w:pPr>
      <w:spacing w:line="300" w:lineRule="atLeast"/>
    </w:pPr>
    <w:rPr>
      <w:rFonts w:cs="Times New Roman"/>
      <w:color w:val="auto"/>
    </w:rPr>
  </w:style>
  <w:style w:type="paragraph" w:customStyle="1" w:styleId="Pa13">
    <w:name w:val="Pa13"/>
    <w:basedOn w:val="Default"/>
    <w:next w:val="Default"/>
    <w:uiPriority w:val="99"/>
    <w:rsid w:val="00201AC4"/>
    <w:pPr>
      <w:spacing w:line="160" w:lineRule="atLeast"/>
    </w:pPr>
    <w:rPr>
      <w:rFonts w:cs="Times New Roman"/>
      <w:color w:val="auto"/>
    </w:rPr>
  </w:style>
  <w:style w:type="paragraph" w:customStyle="1" w:styleId="Pa17">
    <w:name w:val="Pa17"/>
    <w:basedOn w:val="Default"/>
    <w:next w:val="Default"/>
    <w:uiPriority w:val="99"/>
    <w:rsid w:val="00C61190"/>
    <w:pPr>
      <w:spacing w:line="160" w:lineRule="atLeast"/>
    </w:pPr>
    <w:rPr>
      <w:rFonts w:cs="Times New Roman"/>
      <w:color w:val="auto"/>
    </w:rPr>
  </w:style>
  <w:style w:type="character" w:styleId="Kommentarzeichen">
    <w:name w:val="annotation reference"/>
    <w:uiPriority w:val="99"/>
    <w:semiHidden/>
    <w:unhideWhenUsed/>
    <w:rsid w:val="00C61190"/>
    <w:rPr>
      <w:sz w:val="16"/>
      <w:szCs w:val="16"/>
    </w:rPr>
  </w:style>
  <w:style w:type="paragraph" w:customStyle="1" w:styleId="Listenabsatz1">
    <w:name w:val="Listenabsatz1"/>
    <w:basedOn w:val="Standard"/>
    <w:qFormat/>
    <w:rsid w:val="00C61190"/>
    <w:pPr>
      <w:ind w:left="720"/>
    </w:pPr>
    <w:rPr>
      <w:rFonts w:eastAsia="Times New Roman"/>
    </w:rPr>
  </w:style>
  <w:style w:type="table" w:customStyle="1" w:styleId="TableNormal">
    <w:name w:val="Table Normal"/>
    <w:uiPriority w:val="2"/>
    <w:semiHidden/>
    <w:unhideWhenUsed/>
    <w:qFormat/>
    <w:rsid w:val="0062722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62722F"/>
    <w:pPr>
      <w:widowControl w:val="0"/>
      <w:autoSpaceDE w:val="0"/>
      <w:autoSpaceDN w:val="0"/>
      <w:spacing w:before="85" w:after="0" w:line="240" w:lineRule="auto"/>
      <w:ind w:left="113"/>
    </w:pPr>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Ausgabe 01 - 2014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05CD19E-D609-45FD-ACD3-016DAFF9C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873</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subject/>
  <dc:creator>Dominik Muhle</dc:creator>
  <cp:keywords/>
  <cp:lastModifiedBy>Korinna Wulfinghoff</cp:lastModifiedBy>
  <cp:revision>2</cp:revision>
  <cp:lastPrinted>2013-12-09T12:30:00Z</cp:lastPrinted>
  <dcterms:created xsi:type="dcterms:W3CDTF">2026-06-12T12:43:00Z</dcterms:created>
  <dcterms:modified xsi:type="dcterms:W3CDTF">2026-06-12T12:43:00Z</dcterms:modified>
</cp:coreProperties>
</file>