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C5824" w14:textId="77777777" w:rsidR="002A5D13" w:rsidRDefault="007A7CA7" w:rsidP="00303DAD">
      <w:pPr>
        <w:tabs>
          <w:tab w:val="left" w:pos="1851"/>
          <w:tab w:val="left" w:pos="5280"/>
        </w:tabs>
        <w:rPr>
          <w:b/>
          <w:noProof/>
          <w:lang w:eastAsia="de-DE"/>
        </w:rPr>
      </w:pPr>
      <w:r>
        <w:rPr>
          <w:b/>
          <w:noProof/>
          <w:lang w:eastAsia="de-DE"/>
        </w:rPr>
        <w:tab/>
      </w:r>
      <w:r w:rsidR="00303DAD">
        <w:rPr>
          <w:b/>
          <w:noProof/>
          <w:lang w:eastAsia="de-DE"/>
        </w:rPr>
        <w:tab/>
      </w:r>
    </w:p>
    <w:p w14:paraId="7D4E338B" w14:textId="77777777" w:rsidR="00C73E1A" w:rsidRDefault="007A7CA7" w:rsidP="00EF43D3">
      <w:pPr>
        <w:tabs>
          <w:tab w:val="left" w:pos="1515"/>
          <w:tab w:val="left" w:pos="2430"/>
          <w:tab w:val="left" w:pos="4185"/>
          <w:tab w:val="left" w:pos="6900"/>
        </w:tabs>
      </w:pPr>
      <w:r>
        <w:tab/>
      </w:r>
      <w:r w:rsidR="00EF43D3">
        <w:tab/>
      </w:r>
      <w:r>
        <w:tab/>
      </w:r>
      <w:r w:rsidR="00B707AF">
        <w:tab/>
      </w:r>
    </w:p>
    <w:p w14:paraId="27E5AD81" w14:textId="7E1731CD" w:rsidR="00C61190" w:rsidRDefault="006E18EF" w:rsidP="00C61190">
      <w:pPr>
        <w:tabs>
          <w:tab w:val="left" w:pos="2430"/>
        </w:tabs>
      </w:pPr>
      <w:r>
        <w:tab/>
      </w:r>
    </w:p>
    <w:p w14:paraId="7CB9251D" w14:textId="77777777" w:rsidR="00C61190" w:rsidRPr="00C61190" w:rsidRDefault="00C61190" w:rsidP="00C61190">
      <w:pPr>
        <w:autoSpaceDE w:val="0"/>
        <w:autoSpaceDN w:val="0"/>
        <w:adjustRightInd w:val="0"/>
        <w:spacing w:after="0" w:line="240" w:lineRule="auto"/>
        <w:rPr>
          <w:rFonts w:ascii="DIN Condensed" w:hAnsi="DIN Condensed" w:cs="DIN Condensed"/>
          <w:color w:val="000000"/>
          <w:sz w:val="24"/>
          <w:szCs w:val="24"/>
          <w:lang w:eastAsia="de-DE"/>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5670"/>
      </w:tblGrid>
      <w:tr w:rsidR="00C61190" w:rsidRPr="00C61190" w14:paraId="3960C9FF" w14:textId="77777777" w:rsidTr="00A52A95">
        <w:trPr>
          <w:trHeight w:val="360"/>
          <w:jc w:val="center"/>
        </w:trPr>
        <w:tc>
          <w:tcPr>
            <w:tcW w:w="9493" w:type="dxa"/>
            <w:gridSpan w:val="2"/>
            <w:shd w:val="clear" w:color="auto" w:fill="82AFA7"/>
          </w:tcPr>
          <w:p w14:paraId="65D1B6DB" w14:textId="1AF13437" w:rsidR="00C61190" w:rsidRPr="00C61190" w:rsidRDefault="00A52A95" w:rsidP="00C61190">
            <w:pPr>
              <w:spacing w:before="120" w:after="120"/>
              <w:rPr>
                <w:rFonts w:ascii="Arial" w:hAnsi="Arial" w:cs="Arial"/>
                <w:b/>
                <w:color w:val="000000" w:themeColor="text1"/>
                <w:sz w:val="28"/>
                <w:szCs w:val="28"/>
              </w:rPr>
            </w:pPr>
            <w:r w:rsidRPr="00A52A95">
              <w:rPr>
                <w:rFonts w:ascii="Arial" w:hAnsi="Arial" w:cs="Arial"/>
                <w:b/>
                <w:color w:val="000000" w:themeColor="text1"/>
                <w:sz w:val="28"/>
                <w:szCs w:val="28"/>
              </w:rPr>
              <w:t>Übersicht: Gefährliche Irrtümer: Was hilft und was schadet</w:t>
            </w:r>
          </w:p>
        </w:tc>
      </w:tr>
      <w:tr w:rsidR="00A52A95" w:rsidRPr="00A52A95" w14:paraId="73DD5C36" w14:textId="77777777" w:rsidTr="00A52A95">
        <w:trPr>
          <w:trHeight w:val="114"/>
          <w:jc w:val="center"/>
        </w:trPr>
        <w:tc>
          <w:tcPr>
            <w:tcW w:w="3823" w:type="dxa"/>
            <w:shd w:val="clear" w:color="auto" w:fill="F6A0A2"/>
          </w:tcPr>
          <w:p w14:paraId="6F23717A" w14:textId="2E869055" w:rsidR="00A52A95" w:rsidRPr="00A52A95" w:rsidRDefault="00A52A95" w:rsidP="00A52A95">
            <w:pPr>
              <w:spacing w:before="120" w:after="120"/>
              <w:rPr>
                <w:rFonts w:ascii="Arial" w:hAnsi="Arial" w:cs="Arial"/>
                <w:b/>
                <w:color w:val="000000" w:themeColor="text1"/>
                <w:sz w:val="24"/>
                <w:szCs w:val="24"/>
              </w:rPr>
            </w:pPr>
            <w:r w:rsidRPr="00A52A95">
              <w:rPr>
                <w:rFonts w:ascii="Arial" w:hAnsi="Arial" w:cs="Arial"/>
                <w:b/>
                <w:color w:val="000000" w:themeColor="text1"/>
                <w:sz w:val="24"/>
                <w:szCs w:val="24"/>
              </w:rPr>
              <w:t>Der Mythos (Veraltetes Wissen)</w:t>
            </w:r>
          </w:p>
        </w:tc>
        <w:tc>
          <w:tcPr>
            <w:tcW w:w="5670" w:type="dxa"/>
            <w:shd w:val="clear" w:color="auto" w:fill="F6A0A2"/>
          </w:tcPr>
          <w:p w14:paraId="0AD04B17" w14:textId="0F47772D" w:rsidR="00A52A95" w:rsidRPr="00A52A95" w:rsidRDefault="00A52A95" w:rsidP="00A52A95">
            <w:pPr>
              <w:spacing w:before="120" w:after="120"/>
              <w:rPr>
                <w:rFonts w:ascii="Arial" w:hAnsi="Arial" w:cs="Arial"/>
                <w:b/>
                <w:color w:val="000000" w:themeColor="text1"/>
                <w:sz w:val="24"/>
                <w:szCs w:val="24"/>
              </w:rPr>
            </w:pPr>
            <w:r w:rsidRPr="00A52A95">
              <w:rPr>
                <w:rFonts w:ascii="Arial" w:hAnsi="Arial" w:cs="Arial"/>
                <w:b/>
                <w:color w:val="000000" w:themeColor="text1"/>
                <w:sz w:val="24"/>
                <w:szCs w:val="24"/>
              </w:rPr>
              <w:t>Die Fakten (Medizinisch korrekt)</w:t>
            </w:r>
          </w:p>
        </w:tc>
      </w:tr>
      <w:tr w:rsidR="00A52A95" w:rsidRPr="000370E7" w14:paraId="5F453D7F" w14:textId="77777777" w:rsidTr="00A52A95">
        <w:trPr>
          <w:trHeight w:val="114"/>
          <w:jc w:val="center"/>
        </w:trPr>
        <w:tc>
          <w:tcPr>
            <w:tcW w:w="3823" w:type="dxa"/>
          </w:tcPr>
          <w:p w14:paraId="51CC52AE" w14:textId="77777777" w:rsidR="00A52A95" w:rsidRPr="00A52A95" w:rsidRDefault="00A52A95" w:rsidP="00A52A95">
            <w:pPr>
              <w:spacing w:before="120" w:after="120"/>
              <w:rPr>
                <w:rFonts w:ascii="Arial" w:hAnsi="Arial" w:cs="Arial"/>
                <w:bCs/>
                <w:color w:val="000000" w:themeColor="text1"/>
                <w:sz w:val="24"/>
                <w:szCs w:val="24"/>
              </w:rPr>
            </w:pPr>
            <w:r w:rsidRPr="00A52A95">
              <w:rPr>
                <w:rFonts w:ascii="Arial" w:hAnsi="Arial" w:cs="Arial"/>
                <w:bCs/>
                <w:color w:val="000000" w:themeColor="text1"/>
                <w:sz w:val="24"/>
                <w:szCs w:val="24"/>
              </w:rPr>
              <w:t>„Zunge verschlucken verhindern“</w:t>
            </w:r>
          </w:p>
          <w:p w14:paraId="7F8D5914" w14:textId="268CC4FD" w:rsidR="00A52A95" w:rsidRPr="000370E7" w:rsidRDefault="00A52A95" w:rsidP="00A52A95">
            <w:pPr>
              <w:spacing w:before="120" w:after="120"/>
              <w:rPr>
                <w:rFonts w:ascii="Arial" w:hAnsi="Arial" w:cs="Arial"/>
                <w:bCs/>
                <w:color w:val="000000" w:themeColor="text1"/>
                <w:sz w:val="24"/>
                <w:szCs w:val="24"/>
              </w:rPr>
            </w:pPr>
            <w:r w:rsidRPr="00A52A95">
              <w:rPr>
                <w:rFonts w:ascii="Arial" w:hAnsi="Arial" w:cs="Arial"/>
                <w:bCs/>
                <w:color w:val="000000" w:themeColor="text1"/>
                <w:sz w:val="24"/>
                <w:szCs w:val="24"/>
              </w:rPr>
              <w:t>(Gegenstand in den Mund schieben)</w:t>
            </w:r>
          </w:p>
        </w:tc>
        <w:tc>
          <w:tcPr>
            <w:tcW w:w="5670" w:type="dxa"/>
          </w:tcPr>
          <w:p w14:paraId="34C0B0A3" w14:textId="7050CEBE" w:rsidR="00A52A95" w:rsidRPr="000370E7" w:rsidRDefault="00A52A95" w:rsidP="00A52A95">
            <w:pPr>
              <w:spacing w:before="120" w:after="120"/>
              <w:rPr>
                <w:rFonts w:ascii="Arial" w:hAnsi="Arial" w:cs="Arial"/>
                <w:bCs/>
                <w:color w:val="000000" w:themeColor="text1"/>
                <w:sz w:val="24"/>
                <w:szCs w:val="24"/>
              </w:rPr>
            </w:pPr>
            <w:r w:rsidRPr="00A52A95">
              <w:rPr>
                <w:rFonts w:ascii="Arial" w:hAnsi="Arial" w:cs="Arial"/>
                <w:bCs/>
                <w:color w:val="000000" w:themeColor="text1"/>
                <w:sz w:val="24"/>
                <w:szCs w:val="24"/>
              </w:rPr>
              <w:t>Tun Sie das niemals! Versuchen Sie keinesfalls, Beißkeile oder Löffel in den Mund zu zwingen. Sie riskieren, dass Zähne ausbrechen und in die Luftröhre gelangen. Zungenbisse heilen, eine Aspiration ist lebensgefährlich.</w:t>
            </w:r>
          </w:p>
        </w:tc>
      </w:tr>
      <w:tr w:rsidR="00A52A95" w:rsidRPr="000370E7" w14:paraId="10C41766" w14:textId="77777777" w:rsidTr="00A52A95">
        <w:trPr>
          <w:trHeight w:val="114"/>
          <w:jc w:val="center"/>
        </w:trPr>
        <w:tc>
          <w:tcPr>
            <w:tcW w:w="3823" w:type="dxa"/>
          </w:tcPr>
          <w:p w14:paraId="4DC260D2" w14:textId="77777777" w:rsidR="00A52A95" w:rsidRPr="00A52A95" w:rsidRDefault="00A52A95" w:rsidP="00A52A95">
            <w:pPr>
              <w:spacing w:before="120" w:after="120"/>
              <w:rPr>
                <w:rFonts w:ascii="Arial" w:hAnsi="Arial" w:cs="Arial"/>
                <w:bCs/>
                <w:color w:val="000000" w:themeColor="text1"/>
                <w:sz w:val="24"/>
                <w:szCs w:val="24"/>
              </w:rPr>
            </w:pPr>
            <w:r w:rsidRPr="00A52A95">
              <w:rPr>
                <w:rFonts w:ascii="Arial" w:hAnsi="Arial" w:cs="Arial"/>
                <w:bCs/>
                <w:color w:val="000000" w:themeColor="text1"/>
                <w:sz w:val="24"/>
                <w:szCs w:val="24"/>
              </w:rPr>
              <w:t>„Den Körper festhalten“</w:t>
            </w:r>
          </w:p>
          <w:p w14:paraId="37EC40B9" w14:textId="35093E0B" w:rsidR="00A52A95" w:rsidRPr="00A52A95" w:rsidRDefault="00A52A95" w:rsidP="00A52A95">
            <w:pPr>
              <w:spacing w:before="120" w:after="120"/>
              <w:rPr>
                <w:rFonts w:ascii="Arial" w:hAnsi="Arial" w:cs="Arial"/>
                <w:bCs/>
                <w:color w:val="000000" w:themeColor="text1"/>
                <w:sz w:val="24"/>
                <w:szCs w:val="24"/>
              </w:rPr>
            </w:pPr>
            <w:r w:rsidRPr="00A52A95">
              <w:rPr>
                <w:rFonts w:ascii="Arial" w:hAnsi="Arial" w:cs="Arial"/>
                <w:bCs/>
                <w:color w:val="000000" w:themeColor="text1"/>
                <w:sz w:val="24"/>
                <w:szCs w:val="24"/>
              </w:rPr>
              <w:t>(Krämpfe unterdrücken)</w:t>
            </w:r>
          </w:p>
        </w:tc>
        <w:tc>
          <w:tcPr>
            <w:tcW w:w="5670" w:type="dxa"/>
          </w:tcPr>
          <w:p w14:paraId="7D7BC867" w14:textId="3E9DF919" w:rsidR="00A52A95" w:rsidRPr="00A52A95" w:rsidRDefault="00A52A95" w:rsidP="00A52A95">
            <w:pPr>
              <w:spacing w:before="120" w:after="120"/>
              <w:rPr>
                <w:rFonts w:ascii="Arial" w:hAnsi="Arial" w:cs="Arial"/>
                <w:bCs/>
                <w:color w:val="000000" w:themeColor="text1"/>
                <w:sz w:val="24"/>
                <w:szCs w:val="24"/>
              </w:rPr>
            </w:pPr>
            <w:r w:rsidRPr="00A52A95">
              <w:rPr>
                <w:rFonts w:ascii="Arial" w:hAnsi="Arial" w:cs="Arial"/>
                <w:bCs/>
                <w:color w:val="000000" w:themeColor="text1"/>
                <w:sz w:val="24"/>
                <w:szCs w:val="24"/>
              </w:rPr>
              <w:t>Unterlassen Sie das Fixieren! Die Muskelkraft während eines Anfalls ist enorm. Wenn Sie Arme oder Beine gewaltsam festhalten, riskieren Sie bei dem Bewohner Blutergüsse, Muskelrisse oder sogar Knochenbrüche. Lassen Sie die Bewegung zu, sichern Sie nur die Umgebung.</w:t>
            </w:r>
          </w:p>
        </w:tc>
      </w:tr>
      <w:tr w:rsidR="00A52A95" w:rsidRPr="000370E7" w14:paraId="1B81D5C5" w14:textId="77777777" w:rsidTr="00A52A95">
        <w:trPr>
          <w:trHeight w:val="114"/>
          <w:jc w:val="center"/>
        </w:trPr>
        <w:tc>
          <w:tcPr>
            <w:tcW w:w="3823" w:type="dxa"/>
          </w:tcPr>
          <w:p w14:paraId="2A874650" w14:textId="5EF2B3AB" w:rsidR="00A52A95" w:rsidRPr="00A52A95" w:rsidRDefault="00A52A95" w:rsidP="00A52A95">
            <w:pPr>
              <w:spacing w:before="120" w:after="120"/>
              <w:rPr>
                <w:rFonts w:ascii="Arial" w:hAnsi="Arial" w:cs="Arial"/>
                <w:bCs/>
                <w:color w:val="000000" w:themeColor="text1"/>
                <w:sz w:val="24"/>
                <w:szCs w:val="24"/>
              </w:rPr>
            </w:pPr>
            <w:r w:rsidRPr="00A52A95">
              <w:rPr>
                <w:rFonts w:ascii="Arial" w:hAnsi="Arial" w:cs="Arial"/>
                <w:bCs/>
                <w:color w:val="000000" w:themeColor="text1"/>
                <w:sz w:val="24"/>
                <w:szCs w:val="24"/>
              </w:rPr>
              <w:t>„Sofort Wasser geben“</w:t>
            </w:r>
          </w:p>
        </w:tc>
        <w:tc>
          <w:tcPr>
            <w:tcW w:w="5670" w:type="dxa"/>
          </w:tcPr>
          <w:p w14:paraId="22A127D5" w14:textId="1FE37D71" w:rsidR="00A52A95" w:rsidRPr="00A52A95" w:rsidRDefault="00A52A95" w:rsidP="00A52A95">
            <w:pPr>
              <w:spacing w:before="120" w:after="120"/>
              <w:rPr>
                <w:rFonts w:ascii="Arial" w:hAnsi="Arial" w:cs="Arial"/>
                <w:bCs/>
                <w:color w:val="000000" w:themeColor="text1"/>
                <w:sz w:val="24"/>
                <w:szCs w:val="24"/>
              </w:rPr>
            </w:pPr>
            <w:r w:rsidRPr="00A52A95">
              <w:rPr>
                <w:rFonts w:ascii="Arial" w:hAnsi="Arial" w:cs="Arial"/>
                <w:bCs/>
                <w:color w:val="000000" w:themeColor="text1"/>
                <w:sz w:val="24"/>
                <w:szCs w:val="24"/>
              </w:rPr>
              <w:t>Geben Sie nichts ein! Nach dem Anfall ist der Schluckreflex oft noch gestört. Warten Sie mit Getränken oder Tabletten, bis Sie sicher sind, dass der Bewohner wieder voll ansprechbar und orientiert ist.</w:t>
            </w:r>
          </w:p>
        </w:tc>
      </w:tr>
    </w:tbl>
    <w:p w14:paraId="2649BD46" w14:textId="77777777" w:rsidR="000370E7" w:rsidRDefault="000370E7" w:rsidP="00C73E1A"/>
    <w:p w14:paraId="24771715" w14:textId="77777777" w:rsidR="00A52A95" w:rsidRDefault="00A52A95" w:rsidP="00C73E1A"/>
    <w:sectPr w:rsidR="00A52A95" w:rsidSect="00C61190">
      <w:headerReference w:type="default" r:id="rId9"/>
      <w:pgSz w:w="11906" w:h="16838" w:code="9"/>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6FE7F" w14:textId="77777777" w:rsidR="0002705C" w:rsidRDefault="0002705C" w:rsidP="002A5D13">
      <w:pPr>
        <w:spacing w:after="0" w:line="240" w:lineRule="auto"/>
      </w:pPr>
      <w:r>
        <w:separator/>
      </w:r>
    </w:p>
  </w:endnote>
  <w:endnote w:type="continuationSeparator" w:id="0">
    <w:p w14:paraId="45BB0AC5" w14:textId="77777777" w:rsidR="0002705C" w:rsidRDefault="0002705C" w:rsidP="002A5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IN Condense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3FCDF" w14:textId="77777777" w:rsidR="0002705C" w:rsidRDefault="0002705C" w:rsidP="002A5D13">
      <w:pPr>
        <w:spacing w:after="0" w:line="240" w:lineRule="auto"/>
      </w:pPr>
      <w:r>
        <w:separator/>
      </w:r>
    </w:p>
  </w:footnote>
  <w:footnote w:type="continuationSeparator" w:id="0">
    <w:p w14:paraId="7905F935" w14:textId="77777777" w:rsidR="0002705C" w:rsidRDefault="0002705C" w:rsidP="002A5D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2721"/>
      <w:gridCol w:w="6349"/>
    </w:tblGrid>
    <w:tr w:rsidR="0050689E" w14:paraId="3D6098E7" w14:textId="77777777" w:rsidTr="0033635C">
      <w:tc>
        <w:tcPr>
          <w:tcW w:w="1500" w:type="pct"/>
          <w:tcBorders>
            <w:bottom w:val="single" w:sz="4" w:space="0" w:color="auto"/>
          </w:tcBorders>
          <w:shd w:val="clear" w:color="auto" w:fill="F27173"/>
          <w:vAlign w:val="center"/>
        </w:tcPr>
        <w:p w14:paraId="0F27D582" w14:textId="75FE4D28" w:rsidR="007A7CA7" w:rsidRPr="00DD7135" w:rsidRDefault="00EF43D3" w:rsidP="00EF43D3">
          <w:pPr>
            <w:pStyle w:val="Kopfzeile"/>
            <w:jc w:val="center"/>
            <w:rPr>
              <w:b/>
            </w:rPr>
          </w:pPr>
          <w:r w:rsidRPr="00DD7135">
            <w:rPr>
              <w:b/>
              <w:sz w:val="24"/>
            </w:rPr>
            <w:t xml:space="preserve">Ausgabe </w:t>
          </w:r>
          <w:r w:rsidR="0062722F">
            <w:rPr>
              <w:b/>
              <w:sz w:val="24"/>
            </w:rPr>
            <w:t>16</w:t>
          </w:r>
          <w:r w:rsidR="002C30B2" w:rsidRPr="00DD7135">
            <w:rPr>
              <w:b/>
              <w:sz w:val="24"/>
            </w:rPr>
            <w:t xml:space="preserve"> - 20</w:t>
          </w:r>
          <w:r w:rsidR="00DD7135" w:rsidRPr="00DD7135">
            <w:rPr>
              <w:b/>
              <w:sz w:val="24"/>
            </w:rPr>
            <w:t>2</w:t>
          </w:r>
          <w:r w:rsidR="00E74595">
            <w:rPr>
              <w:b/>
              <w:sz w:val="24"/>
            </w:rPr>
            <w:t>6</w:t>
          </w:r>
        </w:p>
      </w:tc>
      <w:tc>
        <w:tcPr>
          <w:tcW w:w="4000" w:type="pct"/>
          <w:tcBorders>
            <w:bottom w:val="single" w:sz="4" w:space="0" w:color="auto"/>
          </w:tcBorders>
          <w:vAlign w:val="bottom"/>
        </w:tcPr>
        <w:p w14:paraId="79EE1320" w14:textId="46833442" w:rsidR="008522CE" w:rsidRPr="00C70FB3" w:rsidRDefault="0033635C" w:rsidP="0033635C">
          <w:pPr>
            <w:pStyle w:val="Kopfzeile"/>
            <w:jc w:val="center"/>
            <w:rPr>
              <w:rFonts w:ascii="Tahoma" w:hAnsi="Tahoma" w:cs="Tahoma"/>
              <w:b/>
              <w:bCs/>
              <w:color w:val="000000" w:themeColor="text1"/>
              <w:sz w:val="16"/>
            </w:rPr>
          </w:pPr>
          <w:r w:rsidRPr="0033635C">
            <w:rPr>
              <w:b/>
              <w:noProof/>
              <w:color w:val="FFFFFF" w:themeColor="background1"/>
              <w:sz w:val="40"/>
              <w:szCs w:val="24"/>
            </w:rPr>
            <w:drawing>
              <wp:inline distT="0" distB="0" distL="0" distR="0" wp14:anchorId="3278ABA2" wp14:editId="309D20AE">
                <wp:extent cx="2659380" cy="852937"/>
                <wp:effectExtent l="0" t="0" r="7620" b="4445"/>
                <wp:docPr id="13980572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057261" name=""/>
                        <pic:cNvPicPr/>
                      </pic:nvPicPr>
                      <pic:blipFill>
                        <a:blip r:embed="rId1"/>
                        <a:stretch>
                          <a:fillRect/>
                        </a:stretch>
                      </pic:blipFill>
                      <pic:spPr>
                        <a:xfrm>
                          <a:off x="0" y="0"/>
                          <a:ext cx="2712056" cy="869832"/>
                        </a:xfrm>
                        <a:prstGeom prst="rect">
                          <a:avLst/>
                        </a:prstGeom>
                      </pic:spPr>
                    </pic:pic>
                  </a:graphicData>
                </a:graphic>
              </wp:inline>
            </w:drawing>
          </w:r>
        </w:p>
      </w:tc>
    </w:tr>
  </w:tbl>
  <w:p w14:paraId="3DD6AD82" w14:textId="77777777" w:rsidR="007A7CA7" w:rsidRDefault="007A7CA7">
    <w:pPr>
      <w:pStyle w:val="Kopfzeile"/>
    </w:pPr>
  </w:p>
  <w:p w14:paraId="6FCB3B07" w14:textId="77777777" w:rsidR="007A7CA7" w:rsidRDefault="007A7CA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27249DA"/>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BFE4338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95284A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11EDFBA"/>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62668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624C95"/>
    <w:multiLevelType w:val="hybridMultilevel"/>
    <w:tmpl w:val="834EF1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1E95869"/>
    <w:multiLevelType w:val="hybridMultilevel"/>
    <w:tmpl w:val="E97E055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443233"/>
    <w:multiLevelType w:val="hybridMultilevel"/>
    <w:tmpl w:val="33B88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6127CBB"/>
    <w:multiLevelType w:val="hybridMultilevel"/>
    <w:tmpl w:val="C32E3A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B3B0040"/>
    <w:multiLevelType w:val="hybridMultilevel"/>
    <w:tmpl w:val="72301D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8D7D93"/>
    <w:multiLevelType w:val="hybridMultilevel"/>
    <w:tmpl w:val="A1F49D8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C644C20"/>
    <w:multiLevelType w:val="hybridMultilevel"/>
    <w:tmpl w:val="5DCA9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2BD294"/>
    <w:multiLevelType w:val="multilevel"/>
    <w:tmpl w:val="512BD294"/>
    <w:name w:val="Nummerierungsliste 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3" w15:restartNumberingAfterBreak="0">
    <w:nsid w:val="51862F0E"/>
    <w:multiLevelType w:val="multilevel"/>
    <w:tmpl w:val="51862F0E"/>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4" w15:restartNumberingAfterBreak="0">
    <w:nsid w:val="51862F0F"/>
    <w:multiLevelType w:val="multilevel"/>
    <w:tmpl w:val="51862F0F"/>
    <w:name w:val="Nummerierungsliste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5" w15:restartNumberingAfterBreak="0">
    <w:nsid w:val="51862F10"/>
    <w:multiLevelType w:val="multilevel"/>
    <w:tmpl w:val="51862F10"/>
    <w:name w:val="Nummerierungsliste 4"/>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6" w15:restartNumberingAfterBreak="0">
    <w:nsid w:val="51862F13"/>
    <w:multiLevelType w:val="multilevel"/>
    <w:tmpl w:val="51862F13"/>
    <w:name w:val="Nummerierungsliste 7"/>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7" w15:restartNumberingAfterBreak="0">
    <w:nsid w:val="51862F16"/>
    <w:multiLevelType w:val="multilevel"/>
    <w:tmpl w:val="51862F16"/>
    <w:name w:val="Nummerierungsliste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8" w15:restartNumberingAfterBreak="0">
    <w:nsid w:val="51862F18"/>
    <w:multiLevelType w:val="multilevel"/>
    <w:tmpl w:val="51862F18"/>
    <w:name w:val="Nummerierungsliste 1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9" w15:restartNumberingAfterBreak="0">
    <w:nsid w:val="54D35FDE"/>
    <w:multiLevelType w:val="hybridMultilevel"/>
    <w:tmpl w:val="5FBC30F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D1A7516"/>
    <w:multiLevelType w:val="hybridMultilevel"/>
    <w:tmpl w:val="525AAA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7C5079F"/>
    <w:multiLevelType w:val="hybridMultilevel"/>
    <w:tmpl w:val="09C892A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01729000">
    <w:abstractNumId w:val="9"/>
  </w:num>
  <w:num w:numId="2" w16cid:durableId="1000696356">
    <w:abstractNumId w:val="19"/>
  </w:num>
  <w:num w:numId="3" w16cid:durableId="622343131">
    <w:abstractNumId w:val="21"/>
  </w:num>
  <w:num w:numId="4" w16cid:durableId="2098211513">
    <w:abstractNumId w:val="10"/>
  </w:num>
  <w:num w:numId="5" w16cid:durableId="1446730418">
    <w:abstractNumId w:val="6"/>
  </w:num>
  <w:num w:numId="6" w16cid:durableId="1411586306">
    <w:abstractNumId w:val="7"/>
  </w:num>
  <w:num w:numId="7" w16cid:durableId="94787950">
    <w:abstractNumId w:val="12"/>
  </w:num>
  <w:num w:numId="8" w16cid:durableId="1669751253">
    <w:abstractNumId w:val="11"/>
  </w:num>
  <w:num w:numId="9" w16cid:durableId="786630957">
    <w:abstractNumId w:val="8"/>
  </w:num>
  <w:num w:numId="10" w16cid:durableId="1424759463">
    <w:abstractNumId w:val="5"/>
  </w:num>
  <w:num w:numId="11" w16cid:durableId="1814102308">
    <w:abstractNumId w:val="20"/>
  </w:num>
  <w:num w:numId="12" w16cid:durableId="269510518">
    <w:abstractNumId w:val="14"/>
  </w:num>
  <w:num w:numId="13" w16cid:durableId="2119713375">
    <w:abstractNumId w:val="15"/>
  </w:num>
  <w:num w:numId="14" w16cid:durableId="1635139796">
    <w:abstractNumId w:val="13"/>
  </w:num>
  <w:num w:numId="15" w16cid:durableId="1498955337">
    <w:abstractNumId w:val="16"/>
  </w:num>
  <w:num w:numId="16" w16cid:durableId="396052214">
    <w:abstractNumId w:val="17"/>
  </w:num>
  <w:num w:numId="17" w16cid:durableId="2053142037">
    <w:abstractNumId w:val="18"/>
  </w:num>
  <w:num w:numId="18" w16cid:durableId="1182740916">
    <w:abstractNumId w:val="4"/>
  </w:num>
  <w:num w:numId="19" w16cid:durableId="409348678">
    <w:abstractNumId w:val="3"/>
  </w:num>
  <w:num w:numId="20" w16cid:durableId="1163659882">
    <w:abstractNumId w:val="2"/>
  </w:num>
  <w:num w:numId="21" w16cid:durableId="1687554977">
    <w:abstractNumId w:val="1"/>
  </w:num>
  <w:num w:numId="22" w16cid:durableId="998002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15F"/>
    <w:rsid w:val="00022C51"/>
    <w:rsid w:val="0002705C"/>
    <w:rsid w:val="00032A0C"/>
    <w:rsid w:val="000370E7"/>
    <w:rsid w:val="00052357"/>
    <w:rsid w:val="00063B2B"/>
    <w:rsid w:val="000B50CC"/>
    <w:rsid w:val="000C6A2D"/>
    <w:rsid w:val="001252A1"/>
    <w:rsid w:val="0015409B"/>
    <w:rsid w:val="00196105"/>
    <w:rsid w:val="001B429B"/>
    <w:rsid w:val="00201AC4"/>
    <w:rsid w:val="00205D0C"/>
    <w:rsid w:val="00270834"/>
    <w:rsid w:val="0027096C"/>
    <w:rsid w:val="002766CF"/>
    <w:rsid w:val="0028515F"/>
    <w:rsid w:val="002A37ED"/>
    <w:rsid w:val="002A5D13"/>
    <w:rsid w:val="002B029B"/>
    <w:rsid w:val="002B328E"/>
    <w:rsid w:val="002B4419"/>
    <w:rsid w:val="002C30B2"/>
    <w:rsid w:val="002D45E4"/>
    <w:rsid w:val="002E4378"/>
    <w:rsid w:val="00303DAD"/>
    <w:rsid w:val="0033635C"/>
    <w:rsid w:val="003676E3"/>
    <w:rsid w:val="00380EF0"/>
    <w:rsid w:val="003E3400"/>
    <w:rsid w:val="00415088"/>
    <w:rsid w:val="00433F51"/>
    <w:rsid w:val="0045388D"/>
    <w:rsid w:val="004556ED"/>
    <w:rsid w:val="004639C0"/>
    <w:rsid w:val="004955F6"/>
    <w:rsid w:val="004A47F9"/>
    <w:rsid w:val="004B7939"/>
    <w:rsid w:val="004C2396"/>
    <w:rsid w:val="004C5FDB"/>
    <w:rsid w:val="0050689E"/>
    <w:rsid w:val="00551B88"/>
    <w:rsid w:val="00564F50"/>
    <w:rsid w:val="00587D31"/>
    <w:rsid w:val="00596F46"/>
    <w:rsid w:val="005B6F38"/>
    <w:rsid w:val="005E5BB1"/>
    <w:rsid w:val="00614D0A"/>
    <w:rsid w:val="0062722F"/>
    <w:rsid w:val="006365AC"/>
    <w:rsid w:val="00653E72"/>
    <w:rsid w:val="00661981"/>
    <w:rsid w:val="006A5CFE"/>
    <w:rsid w:val="006B2EF6"/>
    <w:rsid w:val="006E18EF"/>
    <w:rsid w:val="006F5300"/>
    <w:rsid w:val="007A7CA7"/>
    <w:rsid w:val="007B0290"/>
    <w:rsid w:val="007C0AE5"/>
    <w:rsid w:val="007E1A2E"/>
    <w:rsid w:val="007F12A4"/>
    <w:rsid w:val="00841FA8"/>
    <w:rsid w:val="008422EC"/>
    <w:rsid w:val="008522CE"/>
    <w:rsid w:val="00852BFB"/>
    <w:rsid w:val="008633AC"/>
    <w:rsid w:val="00887070"/>
    <w:rsid w:val="008B1F83"/>
    <w:rsid w:val="008E62B1"/>
    <w:rsid w:val="009261A4"/>
    <w:rsid w:val="00937B0B"/>
    <w:rsid w:val="009433D9"/>
    <w:rsid w:val="00970B2A"/>
    <w:rsid w:val="00983536"/>
    <w:rsid w:val="009B721F"/>
    <w:rsid w:val="00A06C64"/>
    <w:rsid w:val="00A14A7E"/>
    <w:rsid w:val="00A52A95"/>
    <w:rsid w:val="00A553E6"/>
    <w:rsid w:val="00A86F99"/>
    <w:rsid w:val="00AB310E"/>
    <w:rsid w:val="00B01FFE"/>
    <w:rsid w:val="00B707AF"/>
    <w:rsid w:val="00B87D52"/>
    <w:rsid w:val="00BD71E9"/>
    <w:rsid w:val="00C0431A"/>
    <w:rsid w:val="00C310AF"/>
    <w:rsid w:val="00C47118"/>
    <w:rsid w:val="00C61190"/>
    <w:rsid w:val="00C70FB3"/>
    <w:rsid w:val="00C73E1A"/>
    <w:rsid w:val="00CC38C8"/>
    <w:rsid w:val="00D16DFE"/>
    <w:rsid w:val="00DB32C7"/>
    <w:rsid w:val="00DD7135"/>
    <w:rsid w:val="00DE1518"/>
    <w:rsid w:val="00DE1767"/>
    <w:rsid w:val="00E2265E"/>
    <w:rsid w:val="00E74595"/>
    <w:rsid w:val="00EF43D3"/>
    <w:rsid w:val="00F20663"/>
    <w:rsid w:val="00F24929"/>
    <w:rsid w:val="00F4351E"/>
    <w:rsid w:val="00FA19D7"/>
    <w:rsid w:val="00FC278E"/>
    <w:rsid w:val="00FD32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5B64D"/>
  <w15:chartTrackingRefBased/>
  <w15:docId w15:val="{62C448B1-2AC7-4287-9EB5-C213B8FD9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customStyle="1" w:styleId="Default">
    <w:name w:val="Default"/>
    <w:rsid w:val="00201AC4"/>
    <w:pPr>
      <w:autoSpaceDE w:val="0"/>
      <w:autoSpaceDN w:val="0"/>
      <w:adjustRightInd w:val="0"/>
    </w:pPr>
    <w:rPr>
      <w:rFonts w:ascii="DIN Condensed" w:hAnsi="DIN Condensed" w:cs="DIN Condensed"/>
      <w:color w:val="000000"/>
      <w:sz w:val="24"/>
      <w:szCs w:val="24"/>
    </w:rPr>
  </w:style>
  <w:style w:type="paragraph" w:customStyle="1" w:styleId="Pa10">
    <w:name w:val="Pa10"/>
    <w:basedOn w:val="Default"/>
    <w:next w:val="Default"/>
    <w:uiPriority w:val="99"/>
    <w:rsid w:val="00201AC4"/>
    <w:pPr>
      <w:spacing w:line="300" w:lineRule="atLeast"/>
    </w:pPr>
    <w:rPr>
      <w:rFonts w:cs="Times New Roman"/>
      <w:color w:val="auto"/>
    </w:rPr>
  </w:style>
  <w:style w:type="paragraph" w:customStyle="1" w:styleId="Pa13">
    <w:name w:val="Pa13"/>
    <w:basedOn w:val="Default"/>
    <w:next w:val="Default"/>
    <w:uiPriority w:val="99"/>
    <w:rsid w:val="00201AC4"/>
    <w:pPr>
      <w:spacing w:line="160" w:lineRule="atLeast"/>
    </w:pPr>
    <w:rPr>
      <w:rFonts w:cs="Times New Roman"/>
      <w:color w:val="auto"/>
    </w:rPr>
  </w:style>
  <w:style w:type="paragraph" w:customStyle="1" w:styleId="Pa17">
    <w:name w:val="Pa17"/>
    <w:basedOn w:val="Default"/>
    <w:next w:val="Default"/>
    <w:uiPriority w:val="99"/>
    <w:rsid w:val="00C61190"/>
    <w:pPr>
      <w:spacing w:line="160" w:lineRule="atLeast"/>
    </w:pPr>
    <w:rPr>
      <w:rFonts w:cs="Times New Roman"/>
      <w:color w:val="auto"/>
    </w:rPr>
  </w:style>
  <w:style w:type="character" w:styleId="Kommentarzeichen">
    <w:name w:val="annotation reference"/>
    <w:uiPriority w:val="99"/>
    <w:semiHidden/>
    <w:unhideWhenUsed/>
    <w:rsid w:val="00C61190"/>
    <w:rPr>
      <w:sz w:val="16"/>
      <w:szCs w:val="16"/>
    </w:rPr>
  </w:style>
  <w:style w:type="paragraph" w:customStyle="1" w:styleId="Listenabsatz1">
    <w:name w:val="Listenabsatz1"/>
    <w:basedOn w:val="Standard"/>
    <w:qFormat/>
    <w:rsid w:val="00C61190"/>
    <w:pPr>
      <w:ind w:left="720"/>
    </w:pPr>
    <w:rPr>
      <w:rFonts w:eastAsia="Times New Roman"/>
    </w:rPr>
  </w:style>
  <w:style w:type="table" w:customStyle="1" w:styleId="TableNormal">
    <w:name w:val="Table Normal"/>
    <w:uiPriority w:val="2"/>
    <w:semiHidden/>
    <w:unhideWhenUsed/>
    <w:qFormat/>
    <w:rsid w:val="0062722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62722F"/>
    <w:pPr>
      <w:widowControl w:val="0"/>
      <w:autoSpaceDE w:val="0"/>
      <w:autoSpaceDN w:val="0"/>
      <w:spacing w:before="85" w:after="0" w:line="240" w:lineRule="auto"/>
      <w:ind w:left="113"/>
    </w:pPr>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976649">
      <w:bodyDiv w:val="1"/>
      <w:marLeft w:val="0"/>
      <w:marRight w:val="0"/>
      <w:marTop w:val="0"/>
      <w:marBottom w:val="0"/>
      <w:divBdr>
        <w:top w:val="none" w:sz="0" w:space="0" w:color="auto"/>
        <w:left w:val="none" w:sz="0" w:space="0" w:color="auto"/>
        <w:bottom w:val="none" w:sz="0" w:space="0" w:color="auto"/>
        <w:right w:val="none" w:sz="0" w:space="0" w:color="auto"/>
      </w:divBdr>
    </w:div>
    <w:div w:id="480736503">
      <w:bodyDiv w:val="1"/>
      <w:marLeft w:val="0"/>
      <w:marRight w:val="0"/>
      <w:marTop w:val="0"/>
      <w:marBottom w:val="0"/>
      <w:divBdr>
        <w:top w:val="none" w:sz="0" w:space="0" w:color="auto"/>
        <w:left w:val="none" w:sz="0" w:space="0" w:color="auto"/>
        <w:bottom w:val="none" w:sz="0" w:space="0" w:color="auto"/>
        <w:right w:val="none" w:sz="0" w:space="0" w:color="auto"/>
      </w:divBdr>
    </w:div>
    <w:div w:id="695497533">
      <w:bodyDiv w:val="1"/>
      <w:marLeft w:val="0"/>
      <w:marRight w:val="0"/>
      <w:marTop w:val="0"/>
      <w:marBottom w:val="0"/>
      <w:divBdr>
        <w:top w:val="none" w:sz="0" w:space="0" w:color="auto"/>
        <w:left w:val="none" w:sz="0" w:space="0" w:color="auto"/>
        <w:bottom w:val="none" w:sz="0" w:space="0" w:color="auto"/>
        <w:right w:val="none" w:sz="0" w:space="0" w:color="auto"/>
      </w:divBdr>
    </w:div>
    <w:div w:id="1516114622">
      <w:bodyDiv w:val="1"/>
      <w:marLeft w:val="0"/>
      <w:marRight w:val="0"/>
      <w:marTop w:val="0"/>
      <w:marBottom w:val="0"/>
      <w:divBdr>
        <w:top w:val="none" w:sz="0" w:space="0" w:color="auto"/>
        <w:left w:val="none" w:sz="0" w:space="0" w:color="auto"/>
        <w:bottom w:val="none" w:sz="0" w:space="0" w:color="auto"/>
        <w:right w:val="none" w:sz="0" w:space="0" w:color="auto"/>
      </w:divBdr>
    </w:div>
    <w:div w:id="1535650416">
      <w:bodyDiv w:val="1"/>
      <w:marLeft w:val="0"/>
      <w:marRight w:val="0"/>
      <w:marTop w:val="0"/>
      <w:marBottom w:val="0"/>
      <w:divBdr>
        <w:top w:val="none" w:sz="0" w:space="0" w:color="auto"/>
        <w:left w:val="none" w:sz="0" w:space="0" w:color="auto"/>
        <w:bottom w:val="none" w:sz="0" w:space="0" w:color="auto"/>
        <w:right w:val="none" w:sz="0" w:space="0" w:color="auto"/>
      </w:divBdr>
    </w:div>
    <w:div w:id="167471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Ausgabe 01 - 2014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05CD19E-D609-45FD-ACD3-016DAFF9C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832</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Praxis: Soziale Betreuung</vt:lpstr>
    </vt:vector>
  </TitlesOfParts>
  <Company>Microsoft</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 Soziale Betreuung</dc:title>
  <dc:subject/>
  <dc:creator>Dominik Muhle</dc:creator>
  <cp:keywords/>
  <cp:lastModifiedBy>Korinna Wulfinghoff</cp:lastModifiedBy>
  <cp:revision>2</cp:revision>
  <cp:lastPrinted>2013-12-09T12:30:00Z</cp:lastPrinted>
  <dcterms:created xsi:type="dcterms:W3CDTF">2026-06-12T12:37:00Z</dcterms:created>
  <dcterms:modified xsi:type="dcterms:W3CDTF">2026-06-12T12:37:00Z</dcterms:modified>
</cp:coreProperties>
</file>