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A5E579C" w:rsidR="00275440" w:rsidRPr="00275440" w:rsidRDefault="005F164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433B4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8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5A5E579C" w:rsidR="00275440" w:rsidRPr="00275440" w:rsidRDefault="005F164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433B42">
                        <w:rPr>
                          <w:b/>
                          <w:bCs/>
                          <w:color w:val="FFFFFF" w:themeColor="background1"/>
                        </w:rPr>
                        <w:t>8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1075"/>
        <w:gridCol w:w="8985"/>
      </w:tblGrid>
      <w:tr w:rsidR="00D2212A" w14:paraId="346EE272" w14:textId="12AFD3DD" w:rsidTr="00BE08F7">
        <w:trPr>
          <w:trHeight w:val="330"/>
        </w:trPr>
        <w:tc>
          <w:tcPr>
            <w:tcW w:w="10060" w:type="dxa"/>
            <w:gridSpan w:val="2"/>
            <w:shd w:val="clear" w:color="auto" w:fill="9E95BD"/>
          </w:tcPr>
          <w:p w14:paraId="7E5F8220" w14:textId="03DA89B1" w:rsidR="00D2212A" w:rsidRPr="00D2212A" w:rsidRDefault="005310AF" w:rsidP="001511C7">
            <w:pPr>
              <w:pStyle w:val="TabelleHead"/>
              <w:tabs>
                <w:tab w:val="left" w:pos="1853"/>
                <w:tab w:val="center" w:pos="4922"/>
              </w:tabs>
              <w:rPr>
                <w:rFonts w:cstheme="minorHAnsi"/>
                <w:i w:val="0"/>
                <w:iCs w:val="0"/>
                <w:sz w:val="28"/>
                <w:szCs w:val="28"/>
                <w:lang w:val="de-DE"/>
              </w:rPr>
            </w:pPr>
            <w:r>
              <w:rPr>
                <w:i w:val="0"/>
                <w:iCs w:val="0"/>
                <w:sz w:val="28"/>
                <w:szCs w:val="28"/>
                <w:lang w:val="de-DE"/>
              </w:rPr>
              <w:t>Was situative Orientierung zusätzlich erschwert – darauf müssen Sie achten</w:t>
            </w:r>
          </w:p>
        </w:tc>
      </w:tr>
      <w:tr w:rsidR="00CB3F6A" w14:paraId="071A31AD" w14:textId="4635CD64" w:rsidTr="005310AF">
        <w:trPr>
          <w:trHeight w:val="454"/>
        </w:trPr>
        <w:tc>
          <w:tcPr>
            <w:tcW w:w="1075" w:type="dxa"/>
            <w:shd w:val="clear" w:color="auto" w:fill="EBE9F2"/>
          </w:tcPr>
          <w:p w14:paraId="71961ED8" w14:textId="5F58CCF0" w:rsidR="00CB3F6A" w:rsidRPr="00433B42" w:rsidRDefault="005310AF" w:rsidP="00033F4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8985" w:type="dxa"/>
            <w:shd w:val="clear" w:color="auto" w:fill="EBE9F2"/>
          </w:tcPr>
          <w:p w14:paraId="795B242C" w14:textId="77777777" w:rsidR="005310AF" w:rsidRPr="005310AF" w:rsidRDefault="005310AF" w:rsidP="005310AF">
            <w:pPr>
              <w:pStyle w:val="Listenabsatz"/>
              <w:ind w:left="-26"/>
              <w:rPr>
                <w:b/>
                <w:bCs/>
                <w:lang w:val="de-DE"/>
              </w:rPr>
            </w:pPr>
            <w:r w:rsidRPr="005310AF">
              <w:rPr>
                <w:b/>
                <w:bCs/>
                <w:lang w:val="de-DE"/>
              </w:rPr>
              <w:t>Körperliche Belastungen</w:t>
            </w:r>
          </w:p>
          <w:p w14:paraId="017FD1EF" w14:textId="4AB60486" w:rsidR="005310AF" w:rsidRPr="005310AF" w:rsidRDefault="005310AF" w:rsidP="005310AF">
            <w:pPr>
              <w:pStyle w:val="Listenabsatz"/>
              <w:ind w:left="-26"/>
              <w:rPr>
                <w:lang w:val="de-DE"/>
              </w:rPr>
            </w:pPr>
            <w:r w:rsidRPr="005310AF">
              <w:rPr>
                <w:lang w:val="de-DE"/>
              </w:rPr>
              <w:t>Schmerzen, Müdigkeit, Infekte oder ein Delir können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dazu führen, dass Menschen mit Demenz eine Situation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schlechter einordnen. Was sonst noch verständlich wäre,</w:t>
            </w:r>
          </w:p>
          <w:p w14:paraId="19155204" w14:textId="000DB990" w:rsidR="007F1A07" w:rsidRPr="005310AF" w:rsidRDefault="005310AF" w:rsidP="005310AF">
            <w:pPr>
              <w:pStyle w:val="Listenabsatz"/>
              <w:ind w:left="-26"/>
              <w:rPr>
                <w:lang w:val="de-DE"/>
              </w:rPr>
            </w:pPr>
            <w:r w:rsidRPr="005310AF">
              <w:rPr>
                <w:lang w:val="de-DE"/>
              </w:rPr>
              <w:t>wird dann schneller unübersichtlich, bedrohlich oder nicht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mehr nachvollziehbar.</w:t>
            </w:r>
          </w:p>
        </w:tc>
      </w:tr>
      <w:tr w:rsidR="00CB3F6A" w14:paraId="1D1D5D05" w14:textId="5646579F" w:rsidTr="005310AF">
        <w:trPr>
          <w:trHeight w:val="454"/>
        </w:trPr>
        <w:tc>
          <w:tcPr>
            <w:tcW w:w="1075" w:type="dxa"/>
            <w:shd w:val="clear" w:color="auto" w:fill="EBE9F2"/>
          </w:tcPr>
          <w:p w14:paraId="720E2431" w14:textId="5CCA58B1" w:rsidR="00CB3F6A" w:rsidRPr="00433B42" w:rsidRDefault="005310AF" w:rsidP="009E28C7">
            <w:pPr>
              <w:pStyle w:val="Listenabsatz"/>
              <w:ind w:left="-26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8985" w:type="dxa"/>
            <w:shd w:val="clear" w:color="auto" w:fill="EBE9F2"/>
          </w:tcPr>
          <w:p w14:paraId="2A4FFD50" w14:textId="77777777" w:rsidR="005310AF" w:rsidRPr="005310AF" w:rsidRDefault="005310AF" w:rsidP="005310AF">
            <w:pPr>
              <w:pStyle w:val="Listenabsatz"/>
              <w:ind w:left="-26"/>
              <w:rPr>
                <w:b/>
                <w:bCs/>
                <w:lang w:val="de-DE"/>
              </w:rPr>
            </w:pPr>
            <w:r w:rsidRPr="005310AF">
              <w:rPr>
                <w:b/>
                <w:bCs/>
                <w:lang w:val="de-DE"/>
              </w:rPr>
              <w:t>Emotionale Belastungen</w:t>
            </w:r>
          </w:p>
          <w:p w14:paraId="77D75DEB" w14:textId="2BFADF61" w:rsidR="005310AF" w:rsidRPr="005310AF" w:rsidRDefault="005310AF" w:rsidP="005310AF">
            <w:pPr>
              <w:pStyle w:val="Listenabsatz"/>
              <w:ind w:left="-26"/>
              <w:rPr>
                <w:lang w:val="de-DE"/>
              </w:rPr>
            </w:pPr>
            <w:r w:rsidRPr="005310AF">
              <w:rPr>
                <w:lang w:val="de-DE"/>
              </w:rPr>
              <w:t>Angst, Scham oder Unsicherheit verengen die Wahrnehmung.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Besonders körpernahe Pflegehandlungen können</w:t>
            </w:r>
            <w:r>
              <w:rPr>
                <w:lang w:val="de-DE"/>
              </w:rPr>
              <w:t xml:space="preserve"> </w:t>
            </w:r>
            <w:proofErr w:type="gramStart"/>
            <w:r w:rsidRPr="005310AF">
              <w:rPr>
                <w:lang w:val="de-DE"/>
              </w:rPr>
              <w:t>dann</w:t>
            </w:r>
            <w:proofErr w:type="gramEnd"/>
            <w:r w:rsidRPr="005310AF">
              <w:rPr>
                <w:lang w:val="de-DE"/>
              </w:rPr>
              <w:t xml:space="preserve"> als Übergriff erlebt werden, auch wenn sie fachlich</w:t>
            </w:r>
          </w:p>
          <w:p w14:paraId="639C4EE5" w14:textId="1C3AF4AA" w:rsidR="007F1A07" w:rsidRPr="005F164B" w:rsidRDefault="005310AF" w:rsidP="005310AF">
            <w:pPr>
              <w:pStyle w:val="Listenabsatz"/>
              <w:ind w:left="-26"/>
              <w:rPr>
                <w:lang w:val="de-DE"/>
              </w:rPr>
            </w:pPr>
            <w:r w:rsidRPr="005310AF">
              <w:rPr>
                <w:lang w:val="de-DE"/>
              </w:rPr>
              <w:t>notwendig und freundlich gemeint sind.</w:t>
            </w:r>
          </w:p>
        </w:tc>
      </w:tr>
      <w:tr w:rsidR="00CB3F6A" w14:paraId="64FC5CF8" w14:textId="77777777" w:rsidTr="005310AF">
        <w:trPr>
          <w:trHeight w:val="454"/>
        </w:trPr>
        <w:tc>
          <w:tcPr>
            <w:tcW w:w="1075" w:type="dxa"/>
            <w:shd w:val="clear" w:color="auto" w:fill="EBE9F2"/>
          </w:tcPr>
          <w:p w14:paraId="24A5F903" w14:textId="3A260455" w:rsidR="00CB3F6A" w:rsidRPr="00433B42" w:rsidRDefault="005310AF" w:rsidP="009E28C7">
            <w:pPr>
              <w:pStyle w:val="Listenabsatz"/>
              <w:ind w:left="-26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8985" w:type="dxa"/>
            <w:shd w:val="clear" w:color="auto" w:fill="EBE9F2"/>
          </w:tcPr>
          <w:p w14:paraId="74730BC5" w14:textId="77777777" w:rsidR="005310AF" w:rsidRPr="005310AF" w:rsidRDefault="005310AF" w:rsidP="005310AF">
            <w:pPr>
              <w:pStyle w:val="Listenabsatz"/>
              <w:ind w:left="-26"/>
              <w:rPr>
                <w:b/>
                <w:bCs/>
                <w:lang w:val="de-DE"/>
              </w:rPr>
            </w:pPr>
            <w:r w:rsidRPr="005310AF">
              <w:rPr>
                <w:b/>
                <w:bCs/>
                <w:lang w:val="de-DE"/>
              </w:rPr>
              <w:t>Zu viele Reize und zu hohes Tempo</w:t>
            </w:r>
          </w:p>
          <w:p w14:paraId="59DEED18" w14:textId="7F88EABE" w:rsidR="005310AF" w:rsidRPr="005310AF" w:rsidRDefault="005310AF" w:rsidP="005310AF">
            <w:pPr>
              <w:pStyle w:val="Listenabsatz"/>
              <w:ind w:left="-26"/>
              <w:rPr>
                <w:lang w:val="de-DE"/>
              </w:rPr>
            </w:pPr>
            <w:r w:rsidRPr="005310AF">
              <w:rPr>
                <w:lang w:val="de-DE"/>
              </w:rPr>
              <w:t>Hektik, Lärm, viele Personen, schnelle Abläufe und mehrere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Informationen gleichzeitig überfordern das Situationsverständnis.</w:t>
            </w:r>
          </w:p>
          <w:p w14:paraId="78E0D946" w14:textId="1F56431C" w:rsidR="00077A04" w:rsidRPr="005310AF" w:rsidRDefault="005310AF" w:rsidP="005310AF">
            <w:pPr>
              <w:pStyle w:val="Listenabsatz"/>
              <w:ind w:left="-26"/>
              <w:rPr>
                <w:lang w:val="de-DE"/>
              </w:rPr>
            </w:pPr>
            <w:r w:rsidRPr="005310AF">
              <w:rPr>
                <w:lang w:val="de-DE"/>
              </w:rPr>
              <w:t>Die betroffene Person erkennt dann nicht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 xml:space="preserve">mehr: Was passiert gerade? Was soll ich tun? </w:t>
            </w:r>
            <w:proofErr w:type="spellStart"/>
            <w:r w:rsidRPr="005310AF">
              <w:t>Warum</w:t>
            </w:r>
            <w:proofErr w:type="spellEnd"/>
            <w:r w:rsidRPr="005310AF">
              <w:t xml:space="preserve"> </w:t>
            </w:r>
            <w:proofErr w:type="spellStart"/>
            <w:r w:rsidRPr="005310AF">
              <w:t>ist</w:t>
            </w:r>
            <w:proofErr w:type="spellEnd"/>
            <w:r>
              <w:t xml:space="preserve"> </w:t>
            </w:r>
            <w:r w:rsidRPr="005310AF">
              <w:rPr>
                <w:lang w:val="de-DE"/>
              </w:rPr>
              <w:t>das nötig?</w:t>
            </w:r>
          </w:p>
        </w:tc>
      </w:tr>
      <w:tr w:rsidR="00CB3F6A" w14:paraId="6A5DEFB0" w14:textId="77777777" w:rsidTr="005310AF">
        <w:trPr>
          <w:trHeight w:val="454"/>
        </w:trPr>
        <w:tc>
          <w:tcPr>
            <w:tcW w:w="1075" w:type="dxa"/>
            <w:shd w:val="clear" w:color="auto" w:fill="EBE9F2"/>
          </w:tcPr>
          <w:p w14:paraId="194AA72D" w14:textId="731AD6CF" w:rsidR="00CB3F6A" w:rsidRPr="00433B42" w:rsidRDefault="005310AF" w:rsidP="005F164B">
            <w:pPr>
              <w:pStyle w:val="Listenabsatz"/>
              <w:ind w:left="-26"/>
              <w:rPr>
                <w:lang w:val="de-DE"/>
              </w:rPr>
            </w:pPr>
            <w:r>
              <w:t>4</w:t>
            </w:r>
          </w:p>
        </w:tc>
        <w:tc>
          <w:tcPr>
            <w:tcW w:w="8985" w:type="dxa"/>
            <w:shd w:val="clear" w:color="auto" w:fill="EBE9F2"/>
          </w:tcPr>
          <w:p w14:paraId="29CC58D7" w14:textId="77777777" w:rsidR="005310AF" w:rsidRPr="005310AF" w:rsidRDefault="005310AF" w:rsidP="005310AF">
            <w:pPr>
              <w:pStyle w:val="Listenabsatz"/>
              <w:ind w:left="-26"/>
              <w:rPr>
                <w:b/>
                <w:bCs/>
                <w:lang w:val="de-DE"/>
              </w:rPr>
            </w:pPr>
            <w:r w:rsidRPr="005310AF">
              <w:rPr>
                <w:b/>
                <w:bCs/>
                <w:lang w:val="de-DE"/>
              </w:rPr>
              <w:t>Fremde Umgebung und wechselnde Regeln</w:t>
            </w:r>
          </w:p>
          <w:p w14:paraId="678B6992" w14:textId="3FBF1470" w:rsidR="004E4B31" w:rsidRPr="005310AF" w:rsidRDefault="005310AF" w:rsidP="005310AF">
            <w:pPr>
              <w:pStyle w:val="Listenabsatz"/>
              <w:ind w:left="-26"/>
              <w:rPr>
                <w:lang w:val="de-DE"/>
              </w:rPr>
            </w:pPr>
            <w:r w:rsidRPr="005310AF">
              <w:rPr>
                <w:lang w:val="de-DE"/>
              </w:rPr>
              <w:t>Besonders im Krankenhaus sind viele Situationen neu: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Untersuchungen, Zimmerwechsel, ungewohnte Kleidung,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fremde Geräte, andere Tagesabläufe. Wer den Ort nicht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versteht, versteht oft auch die Regeln dieses Ortes nicht.</w:t>
            </w:r>
          </w:p>
        </w:tc>
      </w:tr>
      <w:tr w:rsidR="00EC24CC" w14:paraId="4971E942" w14:textId="77777777" w:rsidTr="005310AF">
        <w:trPr>
          <w:trHeight w:val="454"/>
        </w:trPr>
        <w:tc>
          <w:tcPr>
            <w:tcW w:w="1075" w:type="dxa"/>
            <w:shd w:val="clear" w:color="auto" w:fill="EBE9F2"/>
          </w:tcPr>
          <w:p w14:paraId="47D3D7E9" w14:textId="58B37D07" w:rsidR="00EC24CC" w:rsidRPr="00EC24CC" w:rsidRDefault="005310AF" w:rsidP="009E28C7">
            <w:pPr>
              <w:pStyle w:val="Listenabsatz"/>
              <w:ind w:left="-26"/>
            </w:pPr>
            <w:r>
              <w:rPr>
                <w:lang w:val="de-DE"/>
              </w:rPr>
              <w:t>5</w:t>
            </w:r>
          </w:p>
        </w:tc>
        <w:tc>
          <w:tcPr>
            <w:tcW w:w="8985" w:type="dxa"/>
            <w:shd w:val="clear" w:color="auto" w:fill="EBE9F2"/>
          </w:tcPr>
          <w:p w14:paraId="0BB35EC8" w14:textId="77777777" w:rsidR="005310AF" w:rsidRPr="005310AF" w:rsidRDefault="005310AF" w:rsidP="005310AF">
            <w:pPr>
              <w:pStyle w:val="Listenabsatz"/>
              <w:ind w:left="-26"/>
              <w:rPr>
                <w:b/>
                <w:bCs/>
                <w:lang w:val="de-DE"/>
              </w:rPr>
            </w:pPr>
            <w:r w:rsidRPr="005310AF">
              <w:rPr>
                <w:b/>
                <w:bCs/>
                <w:lang w:val="de-DE"/>
              </w:rPr>
              <w:t>Andere Orientierungsbereiche wirken mit</w:t>
            </w:r>
          </w:p>
          <w:p w14:paraId="250EF24B" w14:textId="3A33FA12" w:rsidR="004E4B31" w:rsidRPr="005310AF" w:rsidRDefault="005310AF" w:rsidP="005310AF">
            <w:pPr>
              <w:pStyle w:val="Listenabsatz"/>
              <w:ind w:left="-26"/>
              <w:rPr>
                <w:lang w:val="de-DE"/>
              </w:rPr>
            </w:pPr>
            <w:r w:rsidRPr="005310AF">
              <w:rPr>
                <w:lang w:val="de-DE"/>
              </w:rPr>
              <w:t>Situative Desorientierung steht selten allein. Wer Zeit nicht</w:t>
            </w:r>
            <w:r w:rsidRPr="005310AF"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einschätzen kann, erlebt Warten schneller als Verlassenwerden.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Wer den eigenen Körper verändert wahrnimmt,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kann Berührung als fremd empfinden. Wer Personen oder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Orte nicht sicher einordnet, versteht auch die aktuelle</w:t>
            </w:r>
            <w:r>
              <w:rPr>
                <w:lang w:val="de-DE"/>
              </w:rPr>
              <w:t xml:space="preserve"> </w:t>
            </w:r>
            <w:r w:rsidRPr="005310AF">
              <w:rPr>
                <w:lang w:val="de-DE"/>
              </w:rPr>
              <w:t>Situation schlechter.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0F5B"/>
    <w:rsid w:val="00001A02"/>
    <w:rsid w:val="00004B3E"/>
    <w:rsid w:val="00005CC7"/>
    <w:rsid w:val="000174A1"/>
    <w:rsid w:val="00021521"/>
    <w:rsid w:val="000267EF"/>
    <w:rsid w:val="0002733F"/>
    <w:rsid w:val="000327A2"/>
    <w:rsid w:val="00033F40"/>
    <w:rsid w:val="000443F8"/>
    <w:rsid w:val="000501B4"/>
    <w:rsid w:val="0005136A"/>
    <w:rsid w:val="00052250"/>
    <w:rsid w:val="00053112"/>
    <w:rsid w:val="00064B77"/>
    <w:rsid w:val="000650C1"/>
    <w:rsid w:val="0006554D"/>
    <w:rsid w:val="00065A23"/>
    <w:rsid w:val="000661BC"/>
    <w:rsid w:val="00072897"/>
    <w:rsid w:val="00075A6C"/>
    <w:rsid w:val="00075B39"/>
    <w:rsid w:val="00077A04"/>
    <w:rsid w:val="00087337"/>
    <w:rsid w:val="00090F95"/>
    <w:rsid w:val="00095262"/>
    <w:rsid w:val="00095529"/>
    <w:rsid w:val="00095F7E"/>
    <w:rsid w:val="000A3D47"/>
    <w:rsid w:val="000A6C3D"/>
    <w:rsid w:val="000A7509"/>
    <w:rsid w:val="000B267A"/>
    <w:rsid w:val="000B6603"/>
    <w:rsid w:val="000D0A47"/>
    <w:rsid w:val="000E3A9F"/>
    <w:rsid w:val="000F6448"/>
    <w:rsid w:val="00100E86"/>
    <w:rsid w:val="001014C4"/>
    <w:rsid w:val="00102EC5"/>
    <w:rsid w:val="0010700A"/>
    <w:rsid w:val="00121F1E"/>
    <w:rsid w:val="0012528F"/>
    <w:rsid w:val="00144291"/>
    <w:rsid w:val="0014574B"/>
    <w:rsid w:val="0014736B"/>
    <w:rsid w:val="001511C7"/>
    <w:rsid w:val="00154F2B"/>
    <w:rsid w:val="0016004F"/>
    <w:rsid w:val="00161350"/>
    <w:rsid w:val="00162517"/>
    <w:rsid w:val="00166E1D"/>
    <w:rsid w:val="0016720D"/>
    <w:rsid w:val="00172A52"/>
    <w:rsid w:val="00182362"/>
    <w:rsid w:val="00186895"/>
    <w:rsid w:val="001900D8"/>
    <w:rsid w:val="001913BD"/>
    <w:rsid w:val="001A0B19"/>
    <w:rsid w:val="001B2E7C"/>
    <w:rsid w:val="001B55D9"/>
    <w:rsid w:val="001B72E2"/>
    <w:rsid w:val="001D6E00"/>
    <w:rsid w:val="001D7B8C"/>
    <w:rsid w:val="001E4FB8"/>
    <w:rsid w:val="001E66D0"/>
    <w:rsid w:val="001E7851"/>
    <w:rsid w:val="001F6876"/>
    <w:rsid w:val="001F68F4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2F6161"/>
    <w:rsid w:val="003005CA"/>
    <w:rsid w:val="003026A8"/>
    <w:rsid w:val="0031325F"/>
    <w:rsid w:val="00324D4E"/>
    <w:rsid w:val="00331B62"/>
    <w:rsid w:val="00333EEC"/>
    <w:rsid w:val="00337D6F"/>
    <w:rsid w:val="003405CA"/>
    <w:rsid w:val="00344697"/>
    <w:rsid w:val="00352804"/>
    <w:rsid w:val="003537E1"/>
    <w:rsid w:val="00353CD2"/>
    <w:rsid w:val="003605B3"/>
    <w:rsid w:val="00364524"/>
    <w:rsid w:val="003739AF"/>
    <w:rsid w:val="0039260C"/>
    <w:rsid w:val="0039733A"/>
    <w:rsid w:val="003A2C6D"/>
    <w:rsid w:val="003B02EE"/>
    <w:rsid w:val="003B7490"/>
    <w:rsid w:val="003C1529"/>
    <w:rsid w:val="003C3A4C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13D8"/>
    <w:rsid w:val="00421BA3"/>
    <w:rsid w:val="00422CCE"/>
    <w:rsid w:val="004313AF"/>
    <w:rsid w:val="00433B42"/>
    <w:rsid w:val="004342D5"/>
    <w:rsid w:val="00442F98"/>
    <w:rsid w:val="00451B15"/>
    <w:rsid w:val="004520D8"/>
    <w:rsid w:val="0045444F"/>
    <w:rsid w:val="00456842"/>
    <w:rsid w:val="0046286A"/>
    <w:rsid w:val="00464E7A"/>
    <w:rsid w:val="00467ECD"/>
    <w:rsid w:val="00487D32"/>
    <w:rsid w:val="0049455E"/>
    <w:rsid w:val="004A00F0"/>
    <w:rsid w:val="004A2601"/>
    <w:rsid w:val="004C37E7"/>
    <w:rsid w:val="004D7817"/>
    <w:rsid w:val="004E336B"/>
    <w:rsid w:val="004E4B31"/>
    <w:rsid w:val="004E517A"/>
    <w:rsid w:val="004F18D6"/>
    <w:rsid w:val="00506602"/>
    <w:rsid w:val="00517B08"/>
    <w:rsid w:val="00522837"/>
    <w:rsid w:val="005310AF"/>
    <w:rsid w:val="00543BE4"/>
    <w:rsid w:val="00551D09"/>
    <w:rsid w:val="005807BC"/>
    <w:rsid w:val="00584977"/>
    <w:rsid w:val="005909A1"/>
    <w:rsid w:val="00590D89"/>
    <w:rsid w:val="00594838"/>
    <w:rsid w:val="00597AFD"/>
    <w:rsid w:val="005A13B9"/>
    <w:rsid w:val="005A3E7E"/>
    <w:rsid w:val="005B246A"/>
    <w:rsid w:val="005B70DD"/>
    <w:rsid w:val="005D111F"/>
    <w:rsid w:val="005D2C0F"/>
    <w:rsid w:val="005D2F8E"/>
    <w:rsid w:val="005D78E5"/>
    <w:rsid w:val="005E54A9"/>
    <w:rsid w:val="005F164B"/>
    <w:rsid w:val="005F2724"/>
    <w:rsid w:val="005F2CBD"/>
    <w:rsid w:val="005F434F"/>
    <w:rsid w:val="005F593F"/>
    <w:rsid w:val="006129D1"/>
    <w:rsid w:val="00613BFB"/>
    <w:rsid w:val="00616EDB"/>
    <w:rsid w:val="00626A19"/>
    <w:rsid w:val="00640E86"/>
    <w:rsid w:val="006438F5"/>
    <w:rsid w:val="00651F5B"/>
    <w:rsid w:val="0066760A"/>
    <w:rsid w:val="00676CAD"/>
    <w:rsid w:val="006816AA"/>
    <w:rsid w:val="00690764"/>
    <w:rsid w:val="006A0045"/>
    <w:rsid w:val="006A11FE"/>
    <w:rsid w:val="006A1936"/>
    <w:rsid w:val="006A1C34"/>
    <w:rsid w:val="006A242B"/>
    <w:rsid w:val="006A3E26"/>
    <w:rsid w:val="006B6B78"/>
    <w:rsid w:val="006C26C1"/>
    <w:rsid w:val="006C4CDD"/>
    <w:rsid w:val="006D3CD4"/>
    <w:rsid w:val="006D5028"/>
    <w:rsid w:val="006E1BD3"/>
    <w:rsid w:val="006F2734"/>
    <w:rsid w:val="007027EF"/>
    <w:rsid w:val="00715A26"/>
    <w:rsid w:val="007218AE"/>
    <w:rsid w:val="007272DE"/>
    <w:rsid w:val="007273F3"/>
    <w:rsid w:val="00727D60"/>
    <w:rsid w:val="00732FDA"/>
    <w:rsid w:val="00733B41"/>
    <w:rsid w:val="00733F3A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7986"/>
    <w:rsid w:val="007E1AF2"/>
    <w:rsid w:val="007E1FE7"/>
    <w:rsid w:val="007F1A07"/>
    <w:rsid w:val="0080720F"/>
    <w:rsid w:val="00815EF8"/>
    <w:rsid w:val="00820AFF"/>
    <w:rsid w:val="00844FD9"/>
    <w:rsid w:val="00847F17"/>
    <w:rsid w:val="00850B6E"/>
    <w:rsid w:val="00863A45"/>
    <w:rsid w:val="00865CCA"/>
    <w:rsid w:val="008814C0"/>
    <w:rsid w:val="00885421"/>
    <w:rsid w:val="008A10EE"/>
    <w:rsid w:val="008A1D5C"/>
    <w:rsid w:val="008A35AE"/>
    <w:rsid w:val="008D1D01"/>
    <w:rsid w:val="008D38DF"/>
    <w:rsid w:val="008F457A"/>
    <w:rsid w:val="00903ACF"/>
    <w:rsid w:val="0090486F"/>
    <w:rsid w:val="009106FE"/>
    <w:rsid w:val="00914B61"/>
    <w:rsid w:val="00916F71"/>
    <w:rsid w:val="00920E4E"/>
    <w:rsid w:val="00921770"/>
    <w:rsid w:val="00922AA3"/>
    <w:rsid w:val="009262D4"/>
    <w:rsid w:val="00926C7A"/>
    <w:rsid w:val="00935879"/>
    <w:rsid w:val="00937B27"/>
    <w:rsid w:val="009422CB"/>
    <w:rsid w:val="00943FEB"/>
    <w:rsid w:val="00945DC8"/>
    <w:rsid w:val="00961612"/>
    <w:rsid w:val="00971F5A"/>
    <w:rsid w:val="00974630"/>
    <w:rsid w:val="00997AB3"/>
    <w:rsid w:val="009A3F1F"/>
    <w:rsid w:val="009D2788"/>
    <w:rsid w:val="009D27B5"/>
    <w:rsid w:val="009D3A29"/>
    <w:rsid w:val="009D69CC"/>
    <w:rsid w:val="009E28C7"/>
    <w:rsid w:val="009F6BD3"/>
    <w:rsid w:val="00A009BA"/>
    <w:rsid w:val="00A06D08"/>
    <w:rsid w:val="00A104D7"/>
    <w:rsid w:val="00A157E9"/>
    <w:rsid w:val="00A2193B"/>
    <w:rsid w:val="00A24A18"/>
    <w:rsid w:val="00A35024"/>
    <w:rsid w:val="00A3620E"/>
    <w:rsid w:val="00A421EF"/>
    <w:rsid w:val="00A53691"/>
    <w:rsid w:val="00A615B8"/>
    <w:rsid w:val="00A64877"/>
    <w:rsid w:val="00A7645E"/>
    <w:rsid w:val="00A86B95"/>
    <w:rsid w:val="00A87FBF"/>
    <w:rsid w:val="00A92087"/>
    <w:rsid w:val="00A96EA3"/>
    <w:rsid w:val="00AA02C2"/>
    <w:rsid w:val="00AA5DAD"/>
    <w:rsid w:val="00AF753C"/>
    <w:rsid w:val="00B05551"/>
    <w:rsid w:val="00B13114"/>
    <w:rsid w:val="00B137B3"/>
    <w:rsid w:val="00B270A3"/>
    <w:rsid w:val="00B343D7"/>
    <w:rsid w:val="00B3655F"/>
    <w:rsid w:val="00B425DF"/>
    <w:rsid w:val="00B441A0"/>
    <w:rsid w:val="00B52401"/>
    <w:rsid w:val="00B5489A"/>
    <w:rsid w:val="00B60522"/>
    <w:rsid w:val="00B636EC"/>
    <w:rsid w:val="00B66528"/>
    <w:rsid w:val="00B73740"/>
    <w:rsid w:val="00B86287"/>
    <w:rsid w:val="00B864F5"/>
    <w:rsid w:val="00B93EF1"/>
    <w:rsid w:val="00BB3BEB"/>
    <w:rsid w:val="00BC6C49"/>
    <w:rsid w:val="00BD5DEA"/>
    <w:rsid w:val="00BD7E76"/>
    <w:rsid w:val="00BE08F7"/>
    <w:rsid w:val="00BE2F5D"/>
    <w:rsid w:val="00BF0F28"/>
    <w:rsid w:val="00BF31FB"/>
    <w:rsid w:val="00C03562"/>
    <w:rsid w:val="00C14D3E"/>
    <w:rsid w:val="00C324E1"/>
    <w:rsid w:val="00C500C9"/>
    <w:rsid w:val="00C52DEE"/>
    <w:rsid w:val="00C5374F"/>
    <w:rsid w:val="00C63900"/>
    <w:rsid w:val="00C66DDA"/>
    <w:rsid w:val="00C90759"/>
    <w:rsid w:val="00C910EC"/>
    <w:rsid w:val="00C92156"/>
    <w:rsid w:val="00C96F2C"/>
    <w:rsid w:val="00CA39DA"/>
    <w:rsid w:val="00CB1515"/>
    <w:rsid w:val="00CB37F1"/>
    <w:rsid w:val="00CB3F6A"/>
    <w:rsid w:val="00CC08DF"/>
    <w:rsid w:val="00CC0A52"/>
    <w:rsid w:val="00CC34C7"/>
    <w:rsid w:val="00CC4B45"/>
    <w:rsid w:val="00CD1A98"/>
    <w:rsid w:val="00CE6C43"/>
    <w:rsid w:val="00CF1678"/>
    <w:rsid w:val="00CF46F6"/>
    <w:rsid w:val="00D02D50"/>
    <w:rsid w:val="00D05ADB"/>
    <w:rsid w:val="00D13C9E"/>
    <w:rsid w:val="00D14679"/>
    <w:rsid w:val="00D20F86"/>
    <w:rsid w:val="00D2212A"/>
    <w:rsid w:val="00D23610"/>
    <w:rsid w:val="00D25CAF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0F94"/>
    <w:rsid w:val="00E37F04"/>
    <w:rsid w:val="00E44FDC"/>
    <w:rsid w:val="00E470B1"/>
    <w:rsid w:val="00E5084E"/>
    <w:rsid w:val="00E52939"/>
    <w:rsid w:val="00E54AF4"/>
    <w:rsid w:val="00E57A6C"/>
    <w:rsid w:val="00E630A3"/>
    <w:rsid w:val="00E64183"/>
    <w:rsid w:val="00E66D51"/>
    <w:rsid w:val="00E670FA"/>
    <w:rsid w:val="00E70001"/>
    <w:rsid w:val="00E70838"/>
    <w:rsid w:val="00E8099C"/>
    <w:rsid w:val="00E904D6"/>
    <w:rsid w:val="00E90521"/>
    <w:rsid w:val="00E9164B"/>
    <w:rsid w:val="00E94F80"/>
    <w:rsid w:val="00EA1424"/>
    <w:rsid w:val="00EB3680"/>
    <w:rsid w:val="00EB51F9"/>
    <w:rsid w:val="00EC24CC"/>
    <w:rsid w:val="00EC31CB"/>
    <w:rsid w:val="00EC39FD"/>
    <w:rsid w:val="00EC6E3F"/>
    <w:rsid w:val="00EC7710"/>
    <w:rsid w:val="00ED00CC"/>
    <w:rsid w:val="00ED0276"/>
    <w:rsid w:val="00EE33DB"/>
    <w:rsid w:val="00EE34DE"/>
    <w:rsid w:val="00F044D8"/>
    <w:rsid w:val="00F047CD"/>
    <w:rsid w:val="00F156DC"/>
    <w:rsid w:val="00F15F95"/>
    <w:rsid w:val="00F17E07"/>
    <w:rsid w:val="00F24DF5"/>
    <w:rsid w:val="00F255C3"/>
    <w:rsid w:val="00F31963"/>
    <w:rsid w:val="00F330FA"/>
    <w:rsid w:val="00F33E12"/>
    <w:rsid w:val="00F34FB9"/>
    <w:rsid w:val="00F3746C"/>
    <w:rsid w:val="00F466BE"/>
    <w:rsid w:val="00F470CC"/>
    <w:rsid w:val="00F639B9"/>
    <w:rsid w:val="00F6443F"/>
    <w:rsid w:val="00F65A3C"/>
    <w:rsid w:val="00F67B0E"/>
    <w:rsid w:val="00F70BC8"/>
    <w:rsid w:val="00F72AE6"/>
    <w:rsid w:val="00F8374B"/>
    <w:rsid w:val="00F90969"/>
    <w:rsid w:val="00F92B1F"/>
    <w:rsid w:val="00FA1E7D"/>
    <w:rsid w:val="00FA416A"/>
    <w:rsid w:val="00FA45C6"/>
    <w:rsid w:val="00FB0B52"/>
    <w:rsid w:val="00FC104B"/>
    <w:rsid w:val="00FC15F0"/>
    <w:rsid w:val="00FC6D97"/>
    <w:rsid w:val="00FC7049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04B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KDx - Kristin Davidjan</cp:lastModifiedBy>
  <cp:revision>10</cp:revision>
  <dcterms:created xsi:type="dcterms:W3CDTF">2026-05-26T07:56:00Z</dcterms:created>
  <dcterms:modified xsi:type="dcterms:W3CDTF">2026-07-22T12:18:00Z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