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BB0CD6" w14:textId="77777777" w:rsidR="00217B07" w:rsidRDefault="00217B07" w:rsidP="00D95C3C">
      <w:pPr>
        <w:spacing w:before="120" w:after="120"/>
        <w:rPr>
          <w:rFonts w:ascii="Arial" w:hAnsi="Arial" w:cs="Arial"/>
          <w:color w:val="000000" w:themeColor="text1"/>
        </w:rPr>
      </w:pPr>
    </w:p>
    <w:p w14:paraId="796E51DE" w14:textId="77777777" w:rsidR="00090BCE" w:rsidRDefault="00090BCE" w:rsidP="00D95C3C">
      <w:pPr>
        <w:spacing w:before="120" w:after="120"/>
        <w:rPr>
          <w:rFonts w:ascii="Arial" w:hAnsi="Arial" w:cs="Arial"/>
          <w:color w:val="000000" w:themeColor="text1"/>
        </w:rPr>
      </w:pPr>
    </w:p>
    <w:tbl>
      <w:tblPr>
        <w:tblW w:w="11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35"/>
      </w:tblGrid>
      <w:tr w:rsidR="00090BCE" w:rsidRPr="00090BCE" w14:paraId="7A9B5660" w14:textId="77777777" w:rsidTr="00090BCE">
        <w:trPr>
          <w:trHeight w:val="525"/>
          <w:jc w:val="center"/>
        </w:trPr>
        <w:tc>
          <w:tcPr>
            <w:tcW w:w="11335" w:type="dxa"/>
            <w:shd w:val="clear" w:color="auto" w:fill="0099CC"/>
            <w:vAlign w:val="center"/>
          </w:tcPr>
          <w:p w14:paraId="079F054F" w14:textId="407CD2B2" w:rsidR="00090BCE" w:rsidRPr="00090BCE" w:rsidRDefault="00090BCE" w:rsidP="00090BCE">
            <w:pPr>
              <w:spacing w:before="120" w:after="120"/>
              <w:rPr>
                <w:rFonts w:ascii="Arial" w:hAnsi="Arial" w:cs="Arial"/>
                <w:b/>
                <w:color w:val="FFFFFF"/>
                <w:sz w:val="28"/>
                <w:szCs w:val="28"/>
              </w:rPr>
            </w:pPr>
            <w:r>
              <w:rPr>
                <w:rFonts w:ascii="Arial" w:hAnsi="Arial" w:cs="Arial"/>
                <w:b/>
                <w:color w:val="FFFFFF"/>
                <w:sz w:val="28"/>
                <w:szCs w:val="28"/>
              </w:rPr>
              <w:t xml:space="preserve">Muster: </w:t>
            </w:r>
            <w:r w:rsidRPr="00090BCE">
              <w:rPr>
                <w:rFonts w:ascii="Arial" w:hAnsi="Arial" w:cs="Arial"/>
                <w:b/>
                <w:color w:val="FFFFFF"/>
                <w:sz w:val="28"/>
                <w:szCs w:val="28"/>
              </w:rPr>
              <w:t>Verfahrensanweisung zum Umgang mit chronischen Wunden</w:t>
            </w:r>
          </w:p>
        </w:tc>
      </w:tr>
      <w:tr w:rsidR="00090BCE" w:rsidRPr="00090BCE" w14:paraId="512872F7" w14:textId="77777777" w:rsidTr="00090BCE">
        <w:tblPrEx>
          <w:tblCellMar>
            <w:left w:w="70" w:type="dxa"/>
            <w:right w:w="70" w:type="dxa"/>
          </w:tblCellMar>
          <w:tblLook w:val="0000" w:firstRow="0" w:lastRow="0" w:firstColumn="0" w:lastColumn="0" w:noHBand="0" w:noVBand="0"/>
        </w:tblPrEx>
        <w:trPr>
          <w:jc w:val="center"/>
        </w:trPr>
        <w:tc>
          <w:tcPr>
            <w:tcW w:w="11335" w:type="dxa"/>
          </w:tcPr>
          <w:p w14:paraId="2217E35B" w14:textId="26575FBE" w:rsidR="00090BCE" w:rsidRPr="00090BCE" w:rsidRDefault="00090BCE" w:rsidP="00090BCE">
            <w:pPr>
              <w:spacing w:before="120" w:after="120"/>
              <w:rPr>
                <w:rFonts w:ascii="Arial" w:hAnsi="Arial" w:cs="Arial"/>
                <w:color w:val="000000" w:themeColor="text1"/>
                <w:sz w:val="24"/>
                <w:szCs w:val="24"/>
              </w:rPr>
            </w:pPr>
            <w:r w:rsidRPr="00090BCE">
              <w:rPr>
                <w:rFonts w:ascii="Arial" w:hAnsi="Arial" w:cs="Arial"/>
                <w:b/>
                <w:bCs/>
                <w:color w:val="000000" w:themeColor="text1"/>
                <w:sz w:val="24"/>
                <w:szCs w:val="24"/>
              </w:rPr>
              <w:t>Thema:</w:t>
            </w:r>
            <w:r w:rsidRPr="00090BCE">
              <w:rPr>
                <w:rFonts w:ascii="Arial" w:hAnsi="Arial" w:cs="Arial"/>
                <w:color w:val="000000" w:themeColor="text1"/>
                <w:sz w:val="24"/>
                <w:szCs w:val="24"/>
              </w:rPr>
              <w:t xml:space="preserve"> Chronische Wunden werden definiert als Wunden mit einer fehlenden Abheilung innerhalb von 8 Wochen. Die im Expertenstandard adressierten Wunden sind alle Symptome einer zugrunde liegenden Grunderkrankung bzw. beim Dekubitus Folgen ursächlicher Risikofaktoren. Neben der Grunderkrankung oder den Risikofaktoren können aber auch weitere Faktoren eine Abheilung verzögern oder verhindern und entsprechende Auswirkungen auf die Lebensqualität haben. Eine korrekte Diagnose der ursächlichen Grunderkrankung und Identifikation begleitender intrinsischer (z. B. weitere beeinflussende Nebenerkrankungen, reduzierter Allgemeinzustand) und extrinsischer Faktoren (z. B. Hygieneaspekte, beeinträchtigte soziale und strukturelle Voraussetzungen) ist daher unverzichtbar (</w:t>
            </w:r>
            <w:proofErr w:type="spellStart"/>
            <w:r w:rsidRPr="00090BCE">
              <w:rPr>
                <w:rFonts w:ascii="Arial" w:hAnsi="Arial" w:cs="Arial"/>
                <w:color w:val="000000" w:themeColor="text1"/>
                <w:sz w:val="24"/>
                <w:szCs w:val="24"/>
              </w:rPr>
              <w:t>DGfW</w:t>
            </w:r>
            <w:proofErr w:type="spellEnd"/>
            <w:r w:rsidRPr="00090BCE">
              <w:rPr>
                <w:rFonts w:ascii="Arial" w:hAnsi="Arial" w:cs="Arial"/>
                <w:color w:val="000000" w:themeColor="text1"/>
                <w:sz w:val="24"/>
                <w:szCs w:val="24"/>
              </w:rPr>
              <w:t xml:space="preserve"> 2023, ICW 2023). Grundlage unseres Handelns ist der Expertenstandard „Pflege von Menschen mit chronischen Wunden“.</w:t>
            </w:r>
          </w:p>
          <w:p w14:paraId="234FD59B" w14:textId="305A8DD3" w:rsidR="00090BCE" w:rsidRPr="00090BCE" w:rsidRDefault="00090BCE" w:rsidP="00090BCE">
            <w:pPr>
              <w:spacing w:before="120" w:after="120"/>
              <w:rPr>
                <w:rFonts w:ascii="Arial" w:hAnsi="Arial" w:cs="Arial"/>
                <w:color w:val="000000" w:themeColor="text1"/>
                <w:sz w:val="24"/>
                <w:szCs w:val="24"/>
              </w:rPr>
            </w:pPr>
            <w:r w:rsidRPr="00090BCE">
              <w:rPr>
                <w:rFonts w:ascii="Arial" w:hAnsi="Arial" w:cs="Arial"/>
                <w:b/>
                <w:bCs/>
                <w:color w:val="000000" w:themeColor="text1"/>
                <w:sz w:val="24"/>
                <w:szCs w:val="24"/>
              </w:rPr>
              <w:t>Ziele:</w:t>
            </w:r>
            <w:r w:rsidRPr="00090BCE">
              <w:rPr>
                <w:rFonts w:ascii="Arial" w:hAnsi="Arial" w:cs="Arial"/>
                <w:color w:val="000000" w:themeColor="text1"/>
                <w:sz w:val="24"/>
                <w:szCs w:val="24"/>
              </w:rPr>
              <w:t xml:space="preserve"> Jeder Mensch mit einer chronischen Wunde der Wundarten Dekubitus, Ulcus cruris venosum/</w:t>
            </w:r>
            <w:proofErr w:type="spellStart"/>
            <w:r w:rsidRPr="00090BCE">
              <w:rPr>
                <w:rFonts w:ascii="Arial" w:hAnsi="Arial" w:cs="Arial"/>
                <w:color w:val="000000" w:themeColor="text1"/>
                <w:sz w:val="24"/>
                <w:szCs w:val="24"/>
              </w:rPr>
              <w:t>arteriosum</w:t>
            </w:r>
            <w:proofErr w:type="spellEnd"/>
            <w:r w:rsidRPr="00090BCE">
              <w:rPr>
                <w:rFonts w:ascii="Arial" w:hAnsi="Arial" w:cs="Arial"/>
                <w:color w:val="000000" w:themeColor="text1"/>
                <w:sz w:val="24"/>
                <w:szCs w:val="24"/>
              </w:rPr>
              <w:t>/</w:t>
            </w:r>
            <w:proofErr w:type="spellStart"/>
            <w:r w:rsidRPr="00090BCE">
              <w:rPr>
                <w:rFonts w:ascii="Arial" w:hAnsi="Arial" w:cs="Arial"/>
                <w:color w:val="000000" w:themeColor="text1"/>
                <w:sz w:val="24"/>
                <w:szCs w:val="24"/>
              </w:rPr>
              <w:t>arterio</w:t>
            </w:r>
            <w:proofErr w:type="spellEnd"/>
            <w:r w:rsidRPr="00090BCE">
              <w:rPr>
                <w:rFonts w:ascii="Arial" w:hAnsi="Arial" w:cs="Arial"/>
                <w:color w:val="000000" w:themeColor="text1"/>
                <w:sz w:val="24"/>
                <w:szCs w:val="24"/>
              </w:rPr>
              <w:t xml:space="preserve">-venös oder diabetisches </w:t>
            </w:r>
            <w:proofErr w:type="spellStart"/>
            <w:r w:rsidRPr="00090BCE">
              <w:rPr>
                <w:rFonts w:ascii="Arial" w:hAnsi="Arial" w:cs="Arial"/>
                <w:color w:val="000000" w:themeColor="text1"/>
                <w:sz w:val="24"/>
                <w:szCs w:val="24"/>
              </w:rPr>
              <w:t>Fußulcus</w:t>
            </w:r>
            <w:proofErr w:type="spellEnd"/>
            <w:r w:rsidRPr="00090BCE">
              <w:rPr>
                <w:rFonts w:ascii="Arial" w:hAnsi="Arial" w:cs="Arial"/>
                <w:color w:val="000000" w:themeColor="text1"/>
                <w:sz w:val="24"/>
                <w:szCs w:val="24"/>
              </w:rPr>
              <w:t xml:space="preserve"> erhält eine pflegerische Versorgung, die das individuelle Krankheitsverständnis berücksichtigt, die Lebensqualität fördert, die Wundheilung unterstützt und die </w:t>
            </w:r>
            <w:proofErr w:type="spellStart"/>
            <w:r w:rsidRPr="00090BCE">
              <w:rPr>
                <w:rFonts w:ascii="Arial" w:hAnsi="Arial" w:cs="Arial"/>
                <w:color w:val="000000" w:themeColor="text1"/>
                <w:sz w:val="24"/>
                <w:szCs w:val="24"/>
              </w:rPr>
              <w:t>Rezidivbildung</w:t>
            </w:r>
            <w:proofErr w:type="spellEnd"/>
            <w:r w:rsidRPr="00090BCE">
              <w:rPr>
                <w:rFonts w:ascii="Arial" w:hAnsi="Arial" w:cs="Arial"/>
                <w:color w:val="000000" w:themeColor="text1"/>
                <w:sz w:val="24"/>
                <w:szCs w:val="24"/>
              </w:rPr>
              <w:t xml:space="preserve"> von Wunden vermeidet. Unser Ziel ist u. a. dann erreicht, wenn eine bestmögliche Entwicklung der Wundheilung und eine Verbesserung der Lebensqualität nachvollziehbar erreicht sind.</w:t>
            </w:r>
          </w:p>
          <w:p w14:paraId="48C2500F" w14:textId="77777777" w:rsidR="00090BCE" w:rsidRPr="00090BCE" w:rsidRDefault="00090BCE" w:rsidP="00090BCE">
            <w:pPr>
              <w:spacing w:before="120" w:after="120"/>
              <w:rPr>
                <w:rFonts w:ascii="Arial" w:hAnsi="Arial" w:cs="Arial"/>
                <w:color w:val="000000" w:themeColor="text1"/>
                <w:sz w:val="24"/>
                <w:szCs w:val="24"/>
              </w:rPr>
            </w:pPr>
            <w:r w:rsidRPr="00090BCE">
              <w:rPr>
                <w:rFonts w:ascii="Arial" w:hAnsi="Arial" w:cs="Arial"/>
                <w:b/>
                <w:bCs/>
                <w:color w:val="000000" w:themeColor="text1"/>
                <w:sz w:val="24"/>
                <w:szCs w:val="24"/>
              </w:rPr>
              <w:t>Geltungsbereich:</w:t>
            </w:r>
            <w:r w:rsidRPr="00090BCE">
              <w:rPr>
                <w:rFonts w:ascii="Arial" w:hAnsi="Arial" w:cs="Arial"/>
                <w:color w:val="000000" w:themeColor="text1"/>
                <w:sz w:val="24"/>
                <w:szCs w:val="24"/>
              </w:rPr>
              <w:t xml:space="preserve"> Pflegefachpersonen</w:t>
            </w:r>
          </w:p>
          <w:p w14:paraId="7232D5D4" w14:textId="12538329" w:rsidR="00090BCE" w:rsidRPr="00090BCE" w:rsidRDefault="00090BCE" w:rsidP="00090BCE">
            <w:pPr>
              <w:spacing w:before="120" w:after="120"/>
              <w:rPr>
                <w:rFonts w:ascii="Arial" w:hAnsi="Arial" w:cs="Arial"/>
                <w:color w:val="000000" w:themeColor="text1"/>
                <w:sz w:val="24"/>
                <w:szCs w:val="24"/>
              </w:rPr>
            </w:pPr>
            <w:r w:rsidRPr="00090BCE">
              <w:rPr>
                <w:rFonts w:ascii="Arial" w:hAnsi="Arial" w:cs="Arial"/>
                <w:b/>
                <w:bCs/>
                <w:color w:val="000000" w:themeColor="text1"/>
                <w:sz w:val="24"/>
                <w:szCs w:val="24"/>
              </w:rPr>
              <w:t>Zuständige Person:</w:t>
            </w:r>
            <w:r w:rsidRPr="00090BCE">
              <w:rPr>
                <w:rFonts w:ascii="Arial" w:hAnsi="Arial" w:cs="Arial"/>
                <w:color w:val="000000" w:themeColor="text1"/>
                <w:sz w:val="24"/>
                <w:szCs w:val="24"/>
              </w:rPr>
              <w:t xml:space="preserve"> Verantwortliche Pflegefachkraft, stellvertretende Verantwortliche Pflegefachkraft und Qualitätsbeauftragter</w:t>
            </w:r>
          </w:p>
          <w:p w14:paraId="234220FA" w14:textId="77777777" w:rsidR="00090BCE" w:rsidRPr="00090BCE" w:rsidRDefault="00090BCE" w:rsidP="00090BCE">
            <w:pPr>
              <w:spacing w:before="120" w:after="120"/>
              <w:rPr>
                <w:rFonts w:ascii="Arial" w:hAnsi="Arial" w:cs="Arial"/>
                <w:b/>
                <w:bCs/>
                <w:color w:val="000000" w:themeColor="text1"/>
                <w:sz w:val="24"/>
                <w:szCs w:val="24"/>
              </w:rPr>
            </w:pPr>
            <w:r w:rsidRPr="00090BCE">
              <w:rPr>
                <w:rFonts w:ascii="Arial" w:hAnsi="Arial" w:cs="Arial"/>
                <w:b/>
                <w:bCs/>
                <w:color w:val="000000" w:themeColor="text1"/>
                <w:sz w:val="24"/>
                <w:szCs w:val="24"/>
              </w:rPr>
              <w:t>Beschreibung des Vorgangs</w:t>
            </w:r>
          </w:p>
          <w:p w14:paraId="3AF7CD25" w14:textId="77777777" w:rsidR="00090BCE" w:rsidRPr="00090BCE" w:rsidRDefault="00090BCE" w:rsidP="00090BCE">
            <w:pPr>
              <w:pStyle w:val="Listenabsatz"/>
              <w:numPr>
                <w:ilvl w:val="0"/>
                <w:numId w:val="41"/>
              </w:numPr>
              <w:spacing w:before="120" w:after="120" w:line="276" w:lineRule="auto"/>
              <w:ind w:left="526" w:hanging="426"/>
              <w:rPr>
                <w:rFonts w:ascii="Arial" w:eastAsia="Calibri" w:hAnsi="Arial" w:cs="Arial"/>
                <w:color w:val="000000" w:themeColor="text1"/>
                <w:sz w:val="24"/>
              </w:rPr>
            </w:pPr>
            <w:r w:rsidRPr="00090BCE">
              <w:rPr>
                <w:rFonts w:ascii="Arial" w:eastAsia="Calibri" w:hAnsi="Arial" w:cs="Arial"/>
                <w:color w:val="000000" w:themeColor="text1"/>
                <w:sz w:val="24"/>
              </w:rPr>
              <w:t>Alle 3-jährig examinierten Mitarbeiter verfügen über die Kompetenz, chronische Wunden bei Pflegekunden zu erkennen. Für die Einschätzung der Wunde, wund- und therapiebedingter Beeinträchtigungen sowie der Präferenzen des Pflegekunden steht pflegerische Fachexpertise zur Verfügung.</w:t>
            </w:r>
          </w:p>
          <w:p w14:paraId="4F85D25E" w14:textId="77777777" w:rsidR="00090BCE" w:rsidRPr="00090BCE" w:rsidRDefault="00090BCE" w:rsidP="00090BCE">
            <w:pPr>
              <w:pStyle w:val="Listenabsatz"/>
              <w:numPr>
                <w:ilvl w:val="0"/>
                <w:numId w:val="41"/>
              </w:numPr>
              <w:spacing w:before="120" w:after="120" w:line="276" w:lineRule="auto"/>
              <w:ind w:left="526" w:hanging="426"/>
              <w:rPr>
                <w:rFonts w:ascii="Arial" w:eastAsia="Calibri" w:hAnsi="Arial" w:cs="Arial"/>
                <w:color w:val="000000" w:themeColor="text1"/>
                <w:sz w:val="24"/>
              </w:rPr>
            </w:pPr>
            <w:r w:rsidRPr="00090BCE">
              <w:rPr>
                <w:rFonts w:ascii="Arial" w:eastAsia="Calibri" w:hAnsi="Arial" w:cs="Arial"/>
                <w:color w:val="000000" w:themeColor="text1"/>
                <w:sz w:val="24"/>
              </w:rPr>
              <w:t>Wir stellen aktuelle, zielgruppenspezifische Instrumente zur Einschätzung, Dokumentation und Evaluation bereit.</w:t>
            </w:r>
          </w:p>
          <w:p w14:paraId="5BE43664" w14:textId="77777777" w:rsidR="00090BCE" w:rsidRPr="00090BCE" w:rsidRDefault="00090BCE" w:rsidP="00090BCE">
            <w:pPr>
              <w:pStyle w:val="Listenabsatz"/>
              <w:numPr>
                <w:ilvl w:val="0"/>
                <w:numId w:val="41"/>
              </w:numPr>
              <w:spacing w:before="120" w:after="120" w:line="276" w:lineRule="auto"/>
              <w:ind w:left="526" w:hanging="426"/>
              <w:rPr>
                <w:rFonts w:ascii="Arial" w:eastAsia="Calibri" w:hAnsi="Arial" w:cs="Arial"/>
                <w:color w:val="000000" w:themeColor="text1"/>
                <w:sz w:val="24"/>
              </w:rPr>
            </w:pPr>
            <w:r w:rsidRPr="00090BCE">
              <w:rPr>
                <w:rFonts w:ascii="Arial" w:eastAsia="Calibri" w:hAnsi="Arial" w:cs="Arial"/>
                <w:color w:val="000000" w:themeColor="text1"/>
                <w:sz w:val="24"/>
              </w:rPr>
              <w:t xml:space="preserve">Unsere Pflegefachpersonen verfügen über Kenntnisse zu wund- und therapiebedingten Beeinträchtigungen, krankheitsspezifischen Maßnahmen je nach </w:t>
            </w:r>
            <w:proofErr w:type="spellStart"/>
            <w:r w:rsidRPr="00090BCE">
              <w:rPr>
                <w:rFonts w:ascii="Arial" w:eastAsia="Calibri" w:hAnsi="Arial" w:cs="Arial"/>
                <w:color w:val="000000" w:themeColor="text1"/>
                <w:sz w:val="24"/>
              </w:rPr>
              <w:t>Wundart</w:t>
            </w:r>
            <w:proofErr w:type="spellEnd"/>
            <w:r w:rsidRPr="00090BCE">
              <w:rPr>
                <w:rFonts w:ascii="Arial" w:eastAsia="Calibri" w:hAnsi="Arial" w:cs="Arial"/>
                <w:color w:val="000000" w:themeColor="text1"/>
                <w:sz w:val="24"/>
              </w:rPr>
              <w:t>, hygienischer Wundversorgung und Lokaltherapie, Grunderkrankungen, Rezidiv- und Infektionsprophylaxe sowie Hautschutz und Hautpflege.</w:t>
            </w:r>
          </w:p>
          <w:p w14:paraId="5D0776CA" w14:textId="77777777" w:rsidR="00090BCE" w:rsidRPr="00090BCE" w:rsidRDefault="00090BCE" w:rsidP="00090BCE">
            <w:pPr>
              <w:pStyle w:val="Listenabsatz"/>
              <w:numPr>
                <w:ilvl w:val="0"/>
                <w:numId w:val="41"/>
              </w:numPr>
              <w:spacing w:before="120" w:after="120" w:line="276" w:lineRule="auto"/>
              <w:ind w:left="526" w:hanging="426"/>
              <w:rPr>
                <w:rFonts w:ascii="Arial" w:eastAsia="Calibri" w:hAnsi="Arial" w:cs="Arial"/>
                <w:color w:val="000000" w:themeColor="text1"/>
                <w:sz w:val="24"/>
              </w:rPr>
            </w:pPr>
            <w:r w:rsidRPr="00090BCE">
              <w:rPr>
                <w:rFonts w:ascii="Arial" w:eastAsia="Calibri" w:hAnsi="Arial" w:cs="Arial"/>
                <w:color w:val="000000" w:themeColor="text1"/>
                <w:sz w:val="24"/>
              </w:rPr>
              <w:t xml:space="preserve">Zu Beginn der Versorgung führen wir ein vollständiges </w:t>
            </w:r>
            <w:proofErr w:type="spellStart"/>
            <w:r w:rsidRPr="00090BCE">
              <w:rPr>
                <w:rFonts w:ascii="Arial" w:eastAsia="Calibri" w:hAnsi="Arial" w:cs="Arial"/>
                <w:color w:val="000000" w:themeColor="text1"/>
                <w:sz w:val="24"/>
              </w:rPr>
              <w:t>Wundassessment</w:t>
            </w:r>
            <w:proofErr w:type="spellEnd"/>
            <w:r w:rsidRPr="00090BCE">
              <w:rPr>
                <w:rFonts w:ascii="Arial" w:eastAsia="Calibri" w:hAnsi="Arial" w:cs="Arial"/>
                <w:color w:val="000000" w:themeColor="text1"/>
                <w:sz w:val="24"/>
              </w:rPr>
              <w:t xml:space="preserve"> durch. Im Rahmen der pflegerischen Anamnese erfassen wir Krankheitsverständnis, wund- und therapiebedingte Einschränkungen sowie Möglichkeiten des gesundheitsbezogenen Selbstmanagements. Dabei berücksichtigen wir besonders psychosoziale Aspekte, etwa Scham, soziale Isolation, Motivation und Schmerzen. Für die systematische Einschätzung nutzen wir unser Formular zur Wundanamnese und zum </w:t>
            </w:r>
            <w:proofErr w:type="spellStart"/>
            <w:r w:rsidRPr="00090BCE">
              <w:rPr>
                <w:rFonts w:ascii="Arial" w:eastAsia="Calibri" w:hAnsi="Arial" w:cs="Arial"/>
                <w:color w:val="000000" w:themeColor="text1"/>
                <w:sz w:val="24"/>
              </w:rPr>
              <w:t>Wundassessment</w:t>
            </w:r>
            <w:proofErr w:type="spellEnd"/>
            <w:r w:rsidRPr="00090BCE">
              <w:rPr>
                <w:rFonts w:ascii="Arial" w:eastAsia="Calibri" w:hAnsi="Arial" w:cs="Arial"/>
                <w:color w:val="000000" w:themeColor="text1"/>
                <w:sz w:val="24"/>
              </w:rPr>
              <w:t xml:space="preserve"> einschließlich Anlage.</w:t>
            </w:r>
          </w:p>
          <w:p w14:paraId="026502C5" w14:textId="77777777" w:rsidR="00090BCE" w:rsidRPr="00090BCE" w:rsidRDefault="00090BCE" w:rsidP="00090BCE">
            <w:pPr>
              <w:pStyle w:val="Listenabsatz"/>
              <w:numPr>
                <w:ilvl w:val="0"/>
                <w:numId w:val="41"/>
              </w:numPr>
              <w:spacing w:before="120" w:after="120" w:line="276" w:lineRule="auto"/>
              <w:ind w:left="526" w:hanging="426"/>
              <w:rPr>
                <w:rFonts w:ascii="Arial" w:eastAsia="Calibri" w:hAnsi="Arial" w:cs="Arial"/>
                <w:color w:val="000000" w:themeColor="text1"/>
                <w:sz w:val="24"/>
              </w:rPr>
            </w:pPr>
            <w:r w:rsidRPr="00090BCE">
              <w:rPr>
                <w:rFonts w:ascii="Arial" w:eastAsia="Calibri" w:hAnsi="Arial" w:cs="Arial"/>
                <w:color w:val="000000" w:themeColor="text1"/>
                <w:sz w:val="24"/>
              </w:rPr>
              <w:t>Wir stellen sicher, dass Materialien für eine hygienische Wundversorgung sowie Verband- und Hilfsmittel ohne Unterbrechung der Versorgung zur Verfügung stehen.</w:t>
            </w:r>
            <w:r w:rsidRPr="00090BCE">
              <w:rPr>
                <w:rFonts w:ascii="Arial" w:hAnsi="Arial" w:cs="Arial"/>
                <w:color w:val="000000" w:themeColor="text1"/>
                <w:sz w:val="24"/>
              </w:rPr>
              <w:t xml:space="preserve"> Erkennbare Versorgungslücken werden dokumentiert und unverzüglich mit Arzt, Krankenkasse, Pflegekunden, Angehörigen bzw. weiteren Beteiligten geklärt.</w:t>
            </w:r>
          </w:p>
          <w:p w14:paraId="7827FBCE" w14:textId="77777777" w:rsidR="00090BCE" w:rsidRPr="00090BCE" w:rsidRDefault="00090BCE" w:rsidP="00090BCE">
            <w:pPr>
              <w:pStyle w:val="Listenabsatz"/>
              <w:numPr>
                <w:ilvl w:val="0"/>
                <w:numId w:val="41"/>
              </w:numPr>
              <w:spacing w:before="120" w:after="120" w:line="276" w:lineRule="auto"/>
              <w:ind w:left="526" w:hanging="426"/>
              <w:rPr>
                <w:rFonts w:ascii="Arial" w:eastAsia="Calibri" w:hAnsi="Arial" w:cs="Arial"/>
                <w:color w:val="000000" w:themeColor="text1"/>
                <w:sz w:val="24"/>
              </w:rPr>
            </w:pPr>
            <w:r w:rsidRPr="00090BCE">
              <w:rPr>
                <w:rFonts w:ascii="Arial" w:eastAsia="Calibri" w:hAnsi="Arial" w:cs="Arial"/>
                <w:color w:val="000000" w:themeColor="text1"/>
                <w:sz w:val="24"/>
              </w:rPr>
              <w:t>Gemeinsam mit dem Pflegekunden, ggf. seinen An- und Zugehörigen, pflegerischen Fachexperten und weiteren Berufsgruppen entwickeln wir einen individuellen Maßnahmenplan.</w:t>
            </w:r>
          </w:p>
          <w:p w14:paraId="30F40F8A" w14:textId="77777777" w:rsidR="00090BCE" w:rsidRPr="00090BCE" w:rsidRDefault="00090BCE" w:rsidP="00090BCE">
            <w:pPr>
              <w:pStyle w:val="Listenabsatz"/>
              <w:numPr>
                <w:ilvl w:val="0"/>
                <w:numId w:val="41"/>
              </w:numPr>
              <w:spacing w:before="120" w:after="120" w:line="276" w:lineRule="auto"/>
              <w:ind w:left="526" w:hanging="426"/>
              <w:rPr>
                <w:rFonts w:ascii="Arial" w:eastAsia="Calibri" w:hAnsi="Arial" w:cs="Arial"/>
                <w:color w:val="000000" w:themeColor="text1"/>
                <w:sz w:val="24"/>
              </w:rPr>
            </w:pPr>
            <w:r w:rsidRPr="00090BCE">
              <w:rPr>
                <w:rFonts w:ascii="Arial" w:eastAsia="Calibri" w:hAnsi="Arial" w:cs="Arial"/>
                <w:color w:val="000000" w:themeColor="text1"/>
                <w:sz w:val="24"/>
              </w:rPr>
              <w:lastRenderedPageBreak/>
              <w:t>Die Behandlung chronischer Wunden erfolgt grundsätzlich entsprechend der ärztlichen Verordnung.</w:t>
            </w:r>
          </w:p>
          <w:p w14:paraId="1E04FBB9" w14:textId="77777777" w:rsidR="00090BCE" w:rsidRPr="00090BCE" w:rsidRDefault="00090BCE" w:rsidP="00090BCE">
            <w:pPr>
              <w:pStyle w:val="Listenabsatz"/>
              <w:numPr>
                <w:ilvl w:val="0"/>
                <w:numId w:val="41"/>
              </w:numPr>
              <w:spacing w:before="120" w:after="120" w:line="276" w:lineRule="auto"/>
              <w:ind w:left="526" w:hanging="426"/>
              <w:rPr>
                <w:rFonts w:ascii="Arial" w:eastAsia="Calibri" w:hAnsi="Arial" w:cs="Arial"/>
                <w:color w:val="000000" w:themeColor="text1"/>
                <w:sz w:val="24"/>
              </w:rPr>
            </w:pPr>
            <w:r w:rsidRPr="00090BCE">
              <w:rPr>
                <w:rFonts w:ascii="Arial" w:hAnsi="Arial" w:cs="Arial"/>
                <w:color w:val="000000" w:themeColor="text1"/>
                <w:sz w:val="24"/>
              </w:rPr>
              <w:t>Unklare, unvollständige, widersprüchliche oder fachlich nicht vertretbare ärztliche Verordnungen werden vor Durchführung mit dem verordnenden Arzt geklärt. Bis zur Klärung werden Maßnahmen, deren Durchführung mit einem Gesundheitsrisiko verbunden sein kann, nicht oder nur im medizinisch gebotenen Umfang durchgeführt. Die Rücksprache, das Ergebnis und etwaige Zwischenmaßnahmen werden dokumentiert.</w:t>
            </w:r>
          </w:p>
          <w:p w14:paraId="4039B2D6" w14:textId="77777777" w:rsidR="00090BCE" w:rsidRPr="00090BCE" w:rsidRDefault="00090BCE" w:rsidP="00090BCE">
            <w:pPr>
              <w:pStyle w:val="Listenabsatz"/>
              <w:numPr>
                <w:ilvl w:val="0"/>
                <w:numId w:val="41"/>
              </w:numPr>
              <w:spacing w:before="120" w:after="120" w:line="276" w:lineRule="auto"/>
              <w:ind w:left="526" w:hanging="426"/>
              <w:rPr>
                <w:rFonts w:ascii="Arial" w:eastAsia="Calibri" w:hAnsi="Arial" w:cs="Arial"/>
                <w:color w:val="000000" w:themeColor="text1"/>
                <w:sz w:val="24"/>
              </w:rPr>
            </w:pPr>
            <w:r w:rsidRPr="00090BCE">
              <w:rPr>
                <w:rFonts w:ascii="Arial" w:eastAsia="Calibri" w:hAnsi="Arial" w:cs="Arial"/>
                <w:color w:val="000000" w:themeColor="text1"/>
                <w:sz w:val="24"/>
              </w:rPr>
              <w:t>Unsere Pflegefachpersonen gewährleisten eine hygienische und fachgerechte Wundversorgung. Dazu gehören die regelmäßige Einschätzung der Wundsituation beim Verbandwechsel sowie die kontinuierliche Umsetzung des Maßnahmenplans unter Einbeziehung des Pflegekunden und ggf. seiner An- und Zugehörigen. Sie beurteilen den Heilungsverlauf und die Wirksamkeit aller Maßnahmen.</w:t>
            </w:r>
          </w:p>
          <w:p w14:paraId="008E924A" w14:textId="77777777" w:rsidR="00090BCE" w:rsidRPr="00090BCE" w:rsidRDefault="00090BCE" w:rsidP="00090BCE">
            <w:pPr>
              <w:pStyle w:val="Listenabsatz"/>
              <w:numPr>
                <w:ilvl w:val="0"/>
                <w:numId w:val="41"/>
              </w:numPr>
              <w:spacing w:before="120" w:after="120" w:line="276" w:lineRule="auto"/>
              <w:ind w:left="526" w:hanging="426"/>
              <w:rPr>
                <w:rFonts w:ascii="Arial" w:eastAsia="Calibri" w:hAnsi="Arial" w:cs="Arial"/>
                <w:color w:val="000000" w:themeColor="text1"/>
                <w:sz w:val="24"/>
              </w:rPr>
            </w:pPr>
            <w:r w:rsidRPr="00090BCE">
              <w:rPr>
                <w:rFonts w:ascii="Arial" w:eastAsia="Calibri" w:hAnsi="Arial" w:cs="Arial"/>
                <w:color w:val="000000" w:themeColor="text1"/>
                <w:sz w:val="24"/>
              </w:rPr>
              <w:t>In individuell festgelegten Abständen, spätestens jedoch nach 4 Wochen, überprüfen wir – bei Bedarf unter Einbeziehung pflegerischer oder ärztlicher Fachexpertise – die Wirksamkeit der Maßnahmen. Notwendige Änderungen stimmen wir mit dem Pflegekunden und allen Beteiligten ab.</w:t>
            </w:r>
          </w:p>
          <w:p w14:paraId="788ECC7D" w14:textId="77777777" w:rsidR="00090BCE" w:rsidRPr="00090BCE" w:rsidRDefault="00090BCE" w:rsidP="00090BCE">
            <w:pPr>
              <w:pStyle w:val="Listenabsatz"/>
              <w:numPr>
                <w:ilvl w:val="0"/>
                <w:numId w:val="41"/>
              </w:numPr>
              <w:spacing w:before="120" w:after="120" w:line="276" w:lineRule="auto"/>
              <w:ind w:left="526" w:hanging="426"/>
              <w:rPr>
                <w:rFonts w:ascii="Arial" w:eastAsia="Calibri" w:hAnsi="Arial" w:cs="Arial"/>
                <w:color w:val="000000" w:themeColor="text1"/>
                <w:sz w:val="24"/>
              </w:rPr>
            </w:pPr>
            <w:r w:rsidRPr="00090BCE">
              <w:rPr>
                <w:rFonts w:ascii="Arial" w:eastAsia="Calibri" w:hAnsi="Arial" w:cs="Arial"/>
                <w:color w:val="000000" w:themeColor="text1"/>
                <w:sz w:val="24"/>
              </w:rPr>
              <w:t>Bei Auffälligkeiten informieren wir den behandelnden Arzt, stimmen das weitere Vorgehen mit ihm ab und beziehen bei Bedarf einen pflegerischen Fachexperten ein.</w:t>
            </w:r>
          </w:p>
          <w:p w14:paraId="1947CCAD" w14:textId="77777777" w:rsidR="00090BCE" w:rsidRPr="00090BCE" w:rsidRDefault="00090BCE" w:rsidP="00090BCE">
            <w:pPr>
              <w:pStyle w:val="Listenabsatz"/>
              <w:numPr>
                <w:ilvl w:val="0"/>
                <w:numId w:val="41"/>
              </w:numPr>
              <w:spacing w:before="120" w:after="120" w:line="276" w:lineRule="auto"/>
              <w:ind w:left="526" w:hanging="426"/>
              <w:rPr>
                <w:rFonts w:ascii="Arial" w:eastAsia="Calibri" w:hAnsi="Arial" w:cs="Arial"/>
                <w:color w:val="000000" w:themeColor="text1"/>
                <w:sz w:val="24"/>
              </w:rPr>
            </w:pPr>
            <w:r w:rsidRPr="00090BCE">
              <w:rPr>
                <w:rFonts w:ascii="Arial" w:eastAsia="Calibri" w:hAnsi="Arial" w:cs="Arial"/>
                <w:color w:val="000000" w:themeColor="text1"/>
                <w:sz w:val="24"/>
              </w:rPr>
              <w:t>Die vereinbarten Maßnahmen werden handlungsleitend beschrieben und im Durchführungs- bzw. Leistungsnachweis bestätigt. Besonderheiten und Abweichungen dokumentieren wir im Pflegebericht.</w:t>
            </w:r>
          </w:p>
          <w:p w14:paraId="7283D233" w14:textId="77777777" w:rsidR="00090BCE" w:rsidRPr="00090BCE" w:rsidRDefault="00090BCE" w:rsidP="00090BCE">
            <w:pPr>
              <w:pStyle w:val="Listenabsatz"/>
              <w:numPr>
                <w:ilvl w:val="0"/>
                <w:numId w:val="41"/>
              </w:numPr>
              <w:spacing w:before="120" w:after="120" w:line="276" w:lineRule="auto"/>
              <w:ind w:left="526" w:hanging="426"/>
              <w:rPr>
                <w:rFonts w:ascii="Arial" w:eastAsia="Calibri" w:hAnsi="Arial" w:cs="Arial"/>
                <w:color w:val="000000" w:themeColor="text1"/>
                <w:sz w:val="24"/>
              </w:rPr>
            </w:pPr>
            <w:r w:rsidRPr="00090BCE">
              <w:rPr>
                <w:rFonts w:ascii="Arial" w:eastAsia="Calibri" w:hAnsi="Arial" w:cs="Arial"/>
                <w:color w:val="000000" w:themeColor="text1"/>
                <w:sz w:val="24"/>
              </w:rPr>
              <w:t xml:space="preserve">Bei allen Maßnahmen achten wir die Selbstbestimmung unserer Pflegekunden. </w:t>
            </w:r>
            <w:r w:rsidRPr="00090BCE">
              <w:rPr>
                <w:rFonts w:ascii="Arial" w:hAnsi="Arial" w:cs="Arial"/>
                <w:color w:val="000000" w:themeColor="text1"/>
                <w:sz w:val="24"/>
              </w:rPr>
              <w:t>Lehnt der Pflegekunde notwendige oder verordnete Maßnahmen ab, wird er über mögliche gesundheitliche Folgen verständlich aufgeklärt. Ablehnung, Aufklärung, Einwilligungsfähigkeit und weitere Absprachen werden dokumentiert. Soweit die Durchführung der ärztlich verordneten Versorgung dadurch nicht möglich ist oder eine Gesundheitsgefährdung besteht, wird der verordnende Arzt informiert; bei fehlender Einwilligungsfähigkeit werden rechtliche Vertreter einbezogen.</w:t>
            </w:r>
          </w:p>
          <w:p w14:paraId="4623E810" w14:textId="77777777" w:rsidR="00090BCE" w:rsidRPr="00090BCE" w:rsidRDefault="00090BCE" w:rsidP="00090BCE">
            <w:pPr>
              <w:pStyle w:val="Listenabsatz"/>
              <w:numPr>
                <w:ilvl w:val="0"/>
                <w:numId w:val="41"/>
              </w:numPr>
              <w:spacing w:before="120" w:after="120" w:line="276" w:lineRule="auto"/>
              <w:ind w:left="526" w:hanging="426"/>
              <w:rPr>
                <w:rFonts w:ascii="Arial" w:eastAsia="Calibri" w:hAnsi="Arial" w:cs="Arial"/>
                <w:color w:val="000000" w:themeColor="text1"/>
                <w:sz w:val="24"/>
              </w:rPr>
            </w:pPr>
            <w:r w:rsidRPr="00090BCE">
              <w:rPr>
                <w:rFonts w:ascii="Arial" w:eastAsia="Calibri" w:hAnsi="Arial" w:cs="Arial"/>
                <w:color w:val="000000" w:themeColor="text1"/>
                <w:sz w:val="24"/>
              </w:rPr>
              <w:t>Unsere Pflegefachpersonen können individuellen Informations-, Schulungs- und Beratungsbedarf erkennen und angemessen darauf reagieren.</w:t>
            </w:r>
          </w:p>
          <w:p w14:paraId="6A8A7943" w14:textId="77777777" w:rsidR="00090BCE" w:rsidRPr="00090BCE" w:rsidRDefault="00090BCE" w:rsidP="00090BCE">
            <w:pPr>
              <w:pStyle w:val="Listenabsatz"/>
              <w:numPr>
                <w:ilvl w:val="0"/>
                <w:numId w:val="41"/>
              </w:numPr>
              <w:spacing w:before="120" w:after="120" w:line="276" w:lineRule="auto"/>
              <w:ind w:left="526" w:hanging="426"/>
              <w:rPr>
                <w:rFonts w:ascii="Arial" w:eastAsia="Calibri" w:hAnsi="Arial" w:cs="Arial"/>
                <w:color w:val="000000" w:themeColor="text1"/>
                <w:sz w:val="24"/>
              </w:rPr>
            </w:pPr>
            <w:r w:rsidRPr="00090BCE">
              <w:rPr>
                <w:rFonts w:ascii="Arial" w:eastAsia="Calibri" w:hAnsi="Arial" w:cs="Arial"/>
                <w:color w:val="000000" w:themeColor="text1"/>
                <w:sz w:val="24"/>
              </w:rPr>
              <w:t>Wir informieren Pflegekunden sowie – mit deren Zustimmung – die An- und Zugehörigen über Wundursachen. Durch individuelle Information, Schulung und Beratung fördern wir ihre Fähigkeiten zur eigenständigen Wundversorgung und zum Umgang mit wund- und therapiebedingten Beeinträchtigungen.</w:t>
            </w:r>
          </w:p>
          <w:p w14:paraId="5D5AFC2B" w14:textId="77777777" w:rsidR="00090BCE" w:rsidRPr="00090BCE" w:rsidRDefault="00090BCE" w:rsidP="00090BCE">
            <w:pPr>
              <w:pStyle w:val="Listenabsatz"/>
              <w:numPr>
                <w:ilvl w:val="0"/>
                <w:numId w:val="41"/>
              </w:numPr>
              <w:spacing w:before="120" w:after="120" w:line="276" w:lineRule="auto"/>
              <w:ind w:left="526" w:hanging="426"/>
              <w:rPr>
                <w:rFonts w:ascii="Arial" w:eastAsia="Calibri" w:hAnsi="Arial" w:cs="Arial"/>
                <w:color w:val="000000" w:themeColor="text1"/>
                <w:sz w:val="24"/>
              </w:rPr>
            </w:pPr>
            <w:r w:rsidRPr="00090BCE">
              <w:rPr>
                <w:rFonts w:ascii="Arial" w:eastAsia="Calibri" w:hAnsi="Arial" w:cs="Arial"/>
                <w:color w:val="000000" w:themeColor="text1"/>
                <w:sz w:val="24"/>
              </w:rPr>
              <w:t>Dafür stellen wir zielgruppenspezifische Informations-, Schulungs- und Beratungsmaterialien zur Verfügung.</w:t>
            </w:r>
          </w:p>
          <w:p w14:paraId="0688EEFE" w14:textId="77777777" w:rsidR="00090BCE" w:rsidRPr="00090BCE" w:rsidRDefault="00090BCE" w:rsidP="00090BCE">
            <w:pPr>
              <w:pStyle w:val="Listenabsatz"/>
              <w:numPr>
                <w:ilvl w:val="0"/>
                <w:numId w:val="41"/>
              </w:numPr>
              <w:spacing w:before="120" w:after="120" w:line="276" w:lineRule="auto"/>
              <w:ind w:left="526" w:hanging="426"/>
              <w:rPr>
                <w:rFonts w:ascii="Arial" w:eastAsia="Calibri" w:hAnsi="Arial" w:cs="Arial"/>
                <w:color w:val="000000" w:themeColor="text1"/>
                <w:sz w:val="24"/>
              </w:rPr>
            </w:pPr>
            <w:r w:rsidRPr="00090BCE">
              <w:rPr>
                <w:rFonts w:ascii="Arial" w:eastAsia="Calibri" w:hAnsi="Arial" w:cs="Arial"/>
                <w:color w:val="000000" w:themeColor="text1"/>
                <w:sz w:val="24"/>
              </w:rPr>
              <w:t>Bei komplexem Informations-, Schulungs- oder Beratungsbedarf ziehen wir pflegerische Fachexpertise hinzu.</w:t>
            </w:r>
          </w:p>
          <w:p w14:paraId="4FBFB831" w14:textId="67E394F3" w:rsidR="00090BCE" w:rsidRPr="00090BCE" w:rsidRDefault="00090BCE" w:rsidP="00090BCE">
            <w:pPr>
              <w:pStyle w:val="Listenabsatz"/>
              <w:numPr>
                <w:ilvl w:val="0"/>
                <w:numId w:val="41"/>
              </w:numPr>
              <w:spacing w:before="120" w:after="120" w:line="276" w:lineRule="auto"/>
              <w:ind w:left="526" w:hanging="426"/>
              <w:rPr>
                <w:rFonts w:ascii="Arial" w:eastAsia="Calibri" w:hAnsi="Arial" w:cs="Arial"/>
                <w:color w:val="000000" w:themeColor="text1"/>
                <w:sz w:val="24"/>
              </w:rPr>
            </w:pPr>
            <w:r w:rsidRPr="00090BCE">
              <w:rPr>
                <w:rFonts w:ascii="Arial" w:eastAsia="Calibri" w:hAnsi="Arial" w:cs="Arial"/>
                <w:color w:val="000000" w:themeColor="text1"/>
                <w:sz w:val="24"/>
              </w:rPr>
              <w:t>Dieser Standard ist für alle Mitarbeiter verbindlich.</w:t>
            </w:r>
          </w:p>
          <w:p w14:paraId="090A0094" w14:textId="77777777" w:rsidR="00090BCE" w:rsidRPr="00090BCE" w:rsidRDefault="00090BCE" w:rsidP="00090BCE">
            <w:pPr>
              <w:spacing w:before="120" w:after="120"/>
              <w:rPr>
                <w:rFonts w:ascii="Arial" w:hAnsi="Arial" w:cs="Arial"/>
                <w:b/>
                <w:bCs/>
                <w:color w:val="000000" w:themeColor="text1"/>
                <w:sz w:val="24"/>
                <w:szCs w:val="24"/>
              </w:rPr>
            </w:pPr>
            <w:r w:rsidRPr="00090BCE">
              <w:rPr>
                <w:rFonts w:ascii="Arial" w:hAnsi="Arial" w:cs="Arial"/>
                <w:b/>
                <w:bCs/>
                <w:color w:val="000000" w:themeColor="text1"/>
                <w:sz w:val="24"/>
                <w:szCs w:val="24"/>
              </w:rPr>
              <w:t>Zugehörige Unterlagen</w:t>
            </w:r>
          </w:p>
          <w:p w14:paraId="5FC4D9E6" w14:textId="769FD636" w:rsidR="00090BCE" w:rsidRPr="00090BCE" w:rsidRDefault="00090BCE" w:rsidP="00090BCE">
            <w:pPr>
              <w:pStyle w:val="Listenabsatz"/>
              <w:numPr>
                <w:ilvl w:val="0"/>
                <w:numId w:val="40"/>
              </w:numPr>
              <w:spacing w:before="120" w:after="120"/>
              <w:rPr>
                <w:rFonts w:ascii="Arial" w:hAnsi="Arial" w:cs="Arial"/>
                <w:color w:val="000000" w:themeColor="text1"/>
                <w:sz w:val="24"/>
              </w:rPr>
            </w:pPr>
            <w:r w:rsidRPr="00090BCE">
              <w:rPr>
                <w:rFonts w:ascii="Arial" w:hAnsi="Arial" w:cs="Arial"/>
                <w:color w:val="000000" w:themeColor="text1"/>
                <w:sz w:val="24"/>
              </w:rPr>
              <w:t>Pflegedokumentation mit allen erforderlichen Formularen</w:t>
            </w:r>
          </w:p>
          <w:p w14:paraId="1DE825DF" w14:textId="474F16E9" w:rsidR="00090BCE" w:rsidRPr="00090BCE" w:rsidRDefault="00090BCE" w:rsidP="00090BCE">
            <w:pPr>
              <w:pStyle w:val="Listenabsatz"/>
              <w:numPr>
                <w:ilvl w:val="0"/>
                <w:numId w:val="40"/>
              </w:numPr>
              <w:spacing w:before="120" w:after="120"/>
              <w:rPr>
                <w:rFonts w:ascii="Arial" w:hAnsi="Arial" w:cs="Arial"/>
                <w:color w:val="000000" w:themeColor="text1"/>
                <w:sz w:val="24"/>
              </w:rPr>
            </w:pPr>
            <w:r w:rsidRPr="00090BCE">
              <w:rPr>
                <w:rFonts w:ascii="Arial" w:hAnsi="Arial" w:cs="Arial"/>
                <w:color w:val="000000" w:themeColor="text1"/>
                <w:sz w:val="24"/>
              </w:rPr>
              <w:t>Expertenstandard „Pflege von Menschen mit chronischen Wunden“ (Stand Juni 2025)</w:t>
            </w:r>
          </w:p>
          <w:p w14:paraId="6E01A344" w14:textId="2C689DF1" w:rsidR="00090BCE" w:rsidRPr="00090BCE" w:rsidRDefault="00090BCE" w:rsidP="00090BCE">
            <w:pPr>
              <w:pStyle w:val="Listenabsatz"/>
              <w:numPr>
                <w:ilvl w:val="0"/>
                <w:numId w:val="40"/>
              </w:numPr>
              <w:spacing w:before="120" w:after="120"/>
              <w:rPr>
                <w:rFonts w:ascii="Arial" w:hAnsi="Arial" w:cs="Arial"/>
                <w:color w:val="000000" w:themeColor="text1"/>
                <w:sz w:val="24"/>
              </w:rPr>
            </w:pPr>
            <w:r w:rsidRPr="00090BCE">
              <w:rPr>
                <w:rFonts w:ascii="Arial" w:hAnsi="Arial" w:cs="Arial"/>
                <w:color w:val="000000" w:themeColor="text1"/>
                <w:sz w:val="24"/>
              </w:rPr>
              <w:t xml:space="preserve">Literaturliste                   </w:t>
            </w:r>
          </w:p>
          <w:p w14:paraId="13DDB24E" w14:textId="7FF388D1" w:rsidR="00090BCE" w:rsidRPr="00090BCE" w:rsidRDefault="00090BCE" w:rsidP="00090BCE">
            <w:pPr>
              <w:pStyle w:val="Listenabsatz"/>
              <w:numPr>
                <w:ilvl w:val="0"/>
                <w:numId w:val="40"/>
              </w:numPr>
              <w:spacing w:before="120" w:after="120"/>
              <w:rPr>
                <w:rFonts w:ascii="Arial" w:hAnsi="Arial" w:cs="Arial"/>
                <w:color w:val="000000" w:themeColor="text1"/>
                <w:sz w:val="24"/>
              </w:rPr>
            </w:pPr>
            <w:r w:rsidRPr="00090BCE">
              <w:rPr>
                <w:rFonts w:ascii="Arial" w:hAnsi="Arial" w:cs="Arial"/>
                <w:color w:val="000000" w:themeColor="text1"/>
                <w:sz w:val="24"/>
              </w:rPr>
              <w:t xml:space="preserve">Fortbildungsplan </w:t>
            </w:r>
          </w:p>
          <w:p w14:paraId="3B0E2650" w14:textId="77777777" w:rsidR="00090BCE" w:rsidRPr="00090BCE" w:rsidRDefault="00090BCE" w:rsidP="00090BCE">
            <w:pPr>
              <w:spacing w:before="120" w:after="120"/>
              <w:rPr>
                <w:rFonts w:ascii="Arial" w:hAnsi="Arial" w:cs="Arial"/>
                <w:b/>
                <w:bCs/>
                <w:color w:val="000000" w:themeColor="text1"/>
                <w:sz w:val="24"/>
                <w:szCs w:val="24"/>
              </w:rPr>
            </w:pPr>
            <w:r w:rsidRPr="00090BCE">
              <w:rPr>
                <w:rFonts w:ascii="Arial" w:hAnsi="Arial" w:cs="Arial"/>
                <w:b/>
                <w:bCs/>
                <w:color w:val="000000" w:themeColor="text1"/>
                <w:sz w:val="24"/>
                <w:szCs w:val="24"/>
              </w:rPr>
              <w:t xml:space="preserve">Zu dokumentieren in </w:t>
            </w:r>
          </w:p>
          <w:p w14:paraId="05C73B61" w14:textId="77777777" w:rsidR="00090BCE" w:rsidRPr="00090BCE" w:rsidRDefault="00090BCE" w:rsidP="00090BCE">
            <w:pPr>
              <w:pStyle w:val="Listenabsatz"/>
              <w:numPr>
                <w:ilvl w:val="0"/>
                <w:numId w:val="40"/>
              </w:numPr>
              <w:spacing w:before="120" w:after="120"/>
              <w:rPr>
                <w:rFonts w:ascii="Arial" w:hAnsi="Arial" w:cs="Arial"/>
                <w:color w:val="000000" w:themeColor="text1"/>
                <w:sz w:val="24"/>
              </w:rPr>
            </w:pPr>
            <w:r w:rsidRPr="00090BCE">
              <w:rPr>
                <w:rFonts w:ascii="Arial" w:hAnsi="Arial" w:cs="Arial"/>
                <w:color w:val="000000" w:themeColor="text1"/>
                <w:sz w:val="24"/>
              </w:rPr>
              <w:t xml:space="preserve">Dienstbesprechungsprotokoll                  </w:t>
            </w:r>
          </w:p>
          <w:p w14:paraId="28E0ABF2" w14:textId="45666F43" w:rsidR="00090BCE" w:rsidRPr="00090BCE" w:rsidRDefault="00090BCE" w:rsidP="00090BCE">
            <w:pPr>
              <w:pStyle w:val="Listenabsatz"/>
              <w:numPr>
                <w:ilvl w:val="0"/>
                <w:numId w:val="40"/>
              </w:numPr>
              <w:spacing w:before="120" w:after="120"/>
              <w:rPr>
                <w:rFonts w:ascii="Arial" w:hAnsi="Arial" w:cs="Arial"/>
                <w:color w:val="000000" w:themeColor="text1"/>
                <w:sz w:val="24"/>
              </w:rPr>
            </w:pPr>
            <w:r w:rsidRPr="00090BCE">
              <w:rPr>
                <w:rFonts w:ascii="Arial" w:hAnsi="Arial" w:cs="Arial"/>
                <w:color w:val="000000" w:themeColor="text1"/>
                <w:sz w:val="24"/>
              </w:rPr>
              <w:t xml:space="preserve">Fortbildungsplan </w:t>
            </w:r>
          </w:p>
          <w:p w14:paraId="588FB442" w14:textId="77777777" w:rsidR="00090BCE" w:rsidRPr="00090BCE" w:rsidRDefault="00090BCE" w:rsidP="00090BCE">
            <w:pPr>
              <w:pStyle w:val="Listenabsatz"/>
              <w:numPr>
                <w:ilvl w:val="0"/>
                <w:numId w:val="40"/>
              </w:numPr>
              <w:spacing w:before="120" w:after="120"/>
              <w:rPr>
                <w:rFonts w:ascii="Arial" w:hAnsi="Arial" w:cs="Arial"/>
                <w:color w:val="000000" w:themeColor="text1"/>
                <w:sz w:val="24"/>
              </w:rPr>
            </w:pPr>
            <w:r w:rsidRPr="00090BCE">
              <w:rPr>
                <w:rFonts w:ascii="Arial" w:hAnsi="Arial" w:cs="Arial"/>
                <w:color w:val="000000" w:themeColor="text1"/>
                <w:sz w:val="24"/>
              </w:rPr>
              <w:t xml:space="preserve">Formulare zur Wunddokumentation       </w:t>
            </w:r>
          </w:p>
          <w:p w14:paraId="4E31376F" w14:textId="08F2756E" w:rsidR="00090BCE" w:rsidRPr="00090BCE" w:rsidRDefault="00090BCE" w:rsidP="00090BCE">
            <w:pPr>
              <w:pStyle w:val="Listenabsatz"/>
              <w:numPr>
                <w:ilvl w:val="0"/>
                <w:numId w:val="40"/>
              </w:numPr>
              <w:spacing w:before="120" w:after="120"/>
              <w:rPr>
                <w:rFonts w:ascii="Arial" w:hAnsi="Arial" w:cs="Arial"/>
                <w:color w:val="000000" w:themeColor="text1"/>
                <w:sz w:val="24"/>
              </w:rPr>
            </w:pPr>
            <w:r w:rsidRPr="00090BCE">
              <w:rPr>
                <w:rFonts w:ascii="Arial" w:hAnsi="Arial" w:cs="Arial"/>
                <w:color w:val="000000" w:themeColor="text1"/>
                <w:sz w:val="24"/>
              </w:rPr>
              <w:t>Patientenpflegedokumentation</w:t>
            </w:r>
          </w:p>
        </w:tc>
      </w:tr>
    </w:tbl>
    <w:p w14:paraId="60C34E88" w14:textId="77777777" w:rsidR="00E508DB" w:rsidRPr="00D95C3C" w:rsidRDefault="00E508DB" w:rsidP="00D95C3C">
      <w:pPr>
        <w:spacing w:before="120" w:after="120"/>
        <w:rPr>
          <w:rFonts w:ascii="Arial" w:hAnsi="Arial" w:cs="Arial"/>
          <w:color w:val="000000" w:themeColor="text1"/>
        </w:rPr>
      </w:pPr>
    </w:p>
    <w:sectPr w:rsidR="00E508DB" w:rsidRPr="00D95C3C" w:rsidSect="00090BCE">
      <w:headerReference w:type="default" r:id="rId7"/>
      <w:pgSz w:w="11906" w:h="16838" w:code="9"/>
      <w:pgMar w:top="-851" w:right="1418"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3CF2196" w14:textId="77777777" w:rsidR="00EE4132" w:rsidRDefault="00EE4132" w:rsidP="002A5D13">
      <w:pPr>
        <w:spacing w:after="0" w:line="240" w:lineRule="auto"/>
      </w:pPr>
      <w:r>
        <w:separator/>
      </w:r>
    </w:p>
  </w:endnote>
  <w:endnote w:type="continuationSeparator" w:id="0">
    <w:p w14:paraId="6E846E9E" w14:textId="77777777" w:rsidR="00EE4132" w:rsidRDefault="00EE4132" w:rsidP="002A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gfa Rotis Semisans">
    <w:altName w:val="Calibri"/>
    <w:panose1 w:val="020B0604020202020204"/>
    <w:charset w:val="00"/>
    <w:family w:val="swiss"/>
    <w:notTrueType/>
    <w:pitch w:val="default"/>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175077C" w14:textId="77777777" w:rsidR="00EE4132" w:rsidRDefault="00EE4132" w:rsidP="002A5D13">
      <w:pPr>
        <w:spacing w:after="0" w:line="240" w:lineRule="auto"/>
      </w:pPr>
      <w:r>
        <w:separator/>
      </w:r>
    </w:p>
  </w:footnote>
  <w:footnote w:type="continuationSeparator" w:id="0">
    <w:p w14:paraId="33CA6D56" w14:textId="77777777" w:rsidR="00EE4132" w:rsidRDefault="00EE4132" w:rsidP="002A5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5000" w:type="pct"/>
      <w:tblBorders>
        <w:bottom w:val="single" w:sz="4" w:space="0" w:color="0099CC"/>
      </w:tblBorders>
      <w:tblCellMar>
        <w:top w:w="72" w:type="dxa"/>
        <w:left w:w="115" w:type="dxa"/>
        <w:bottom w:w="72" w:type="dxa"/>
        <w:right w:w="115" w:type="dxa"/>
      </w:tblCellMar>
      <w:tblLook w:val="04A0" w:firstRow="1" w:lastRow="0" w:firstColumn="1" w:lastColumn="0" w:noHBand="0" w:noVBand="1"/>
    </w:tblPr>
    <w:tblGrid>
      <w:gridCol w:w="2721"/>
      <w:gridCol w:w="6349"/>
    </w:tblGrid>
    <w:tr w:rsidR="0050689E" w14:paraId="2E30AA29" w14:textId="77777777" w:rsidTr="00E028D9">
      <w:tc>
        <w:tcPr>
          <w:tcW w:w="1500" w:type="pct"/>
          <w:shd w:val="clear" w:color="auto" w:fill="0099CC"/>
          <w:vAlign w:val="center"/>
        </w:tcPr>
        <w:p w14:paraId="430CE61E" w14:textId="153EDFC5" w:rsidR="007A7CA7" w:rsidRPr="00E74AD6" w:rsidRDefault="00D97E25" w:rsidP="00D97E25">
          <w:pPr>
            <w:pStyle w:val="Kopfzeile"/>
            <w:jc w:val="center"/>
            <w:rPr>
              <w:b/>
              <w:color w:val="DAEEF3"/>
            </w:rPr>
          </w:pPr>
          <w:r>
            <w:rPr>
              <w:b/>
              <w:color w:val="DAEEF3"/>
              <w:sz w:val="24"/>
            </w:rPr>
            <w:t xml:space="preserve">Ausgabe </w:t>
          </w:r>
          <w:r w:rsidR="00C105A8">
            <w:rPr>
              <w:b/>
              <w:color w:val="DAEEF3"/>
              <w:sz w:val="24"/>
            </w:rPr>
            <w:t>18</w:t>
          </w:r>
          <w:r w:rsidR="00A42A0D">
            <w:rPr>
              <w:b/>
              <w:color w:val="DAEEF3"/>
              <w:sz w:val="24"/>
            </w:rPr>
            <w:t xml:space="preserve"> </w:t>
          </w:r>
          <w:r w:rsidR="00F051B0">
            <w:rPr>
              <w:b/>
              <w:color w:val="DAEEF3"/>
              <w:sz w:val="24"/>
            </w:rPr>
            <w:t>–</w:t>
          </w:r>
          <w:r w:rsidR="00A42A0D">
            <w:rPr>
              <w:b/>
              <w:color w:val="DAEEF3"/>
              <w:sz w:val="24"/>
            </w:rPr>
            <w:t xml:space="preserve"> 20</w:t>
          </w:r>
          <w:r w:rsidR="009000A8">
            <w:rPr>
              <w:b/>
              <w:color w:val="DAEEF3"/>
              <w:sz w:val="24"/>
            </w:rPr>
            <w:t>2</w:t>
          </w:r>
          <w:r w:rsidR="002F41D3">
            <w:rPr>
              <w:b/>
              <w:color w:val="DAEEF3"/>
              <w:sz w:val="24"/>
            </w:rPr>
            <w:t>6</w:t>
          </w:r>
          <w:r w:rsidR="00F051B0">
            <w:rPr>
              <w:b/>
              <w:color w:val="DAEEF3"/>
              <w:sz w:val="24"/>
            </w:rPr>
            <w:t xml:space="preserve"> TH</w:t>
          </w:r>
        </w:p>
      </w:tc>
      <w:tc>
        <w:tcPr>
          <w:tcW w:w="4000" w:type="pct"/>
          <w:vAlign w:val="bottom"/>
        </w:tcPr>
        <w:p w14:paraId="60E4E6D0" w14:textId="77777777" w:rsidR="007A7CA7" w:rsidRDefault="008C0D29" w:rsidP="007A7CA7">
          <w:pPr>
            <w:pStyle w:val="Kopfzeile"/>
            <w:rPr>
              <w:b/>
              <w:bCs/>
              <w:color w:val="76923C"/>
              <w:sz w:val="28"/>
            </w:rPr>
          </w:pPr>
          <w:r>
            <w:rPr>
              <w:bCs/>
              <w:sz w:val="36"/>
            </w:rPr>
            <w:t xml:space="preserve"> </w:t>
          </w:r>
          <w:proofErr w:type="spellStart"/>
          <w:proofErr w:type="gramStart"/>
          <w:r w:rsidR="000C66D4">
            <w:rPr>
              <w:bCs/>
              <w:color w:val="808080"/>
              <w:sz w:val="36"/>
            </w:rPr>
            <w:t>pdl.</w:t>
          </w:r>
          <w:r w:rsidR="00E028D9" w:rsidRPr="00E74AD6">
            <w:rPr>
              <w:bCs/>
              <w:i/>
              <w:color w:val="808080"/>
              <w:sz w:val="36"/>
            </w:rPr>
            <w:t>konkret</w:t>
          </w:r>
          <w:proofErr w:type="spellEnd"/>
          <w:proofErr w:type="gramEnd"/>
          <w:r w:rsidR="00E028D9" w:rsidRPr="00E74AD6">
            <w:rPr>
              <w:bCs/>
              <w:i/>
              <w:color w:val="808080"/>
              <w:sz w:val="36"/>
            </w:rPr>
            <w:t xml:space="preserve"> ambulant</w:t>
          </w:r>
        </w:p>
        <w:p w14:paraId="48779234" w14:textId="77777777" w:rsidR="008522CE" w:rsidRPr="00E74AD6" w:rsidRDefault="008C0D29" w:rsidP="00E028D9">
          <w:pPr>
            <w:pStyle w:val="Kopfzeile"/>
            <w:rPr>
              <w:b/>
              <w:bCs/>
              <w:color w:val="808080"/>
              <w:sz w:val="16"/>
            </w:rPr>
          </w:pPr>
          <w:r w:rsidRPr="00E74AD6">
            <w:rPr>
              <w:b/>
              <w:bCs/>
              <w:color w:val="808080"/>
              <w:sz w:val="16"/>
            </w:rPr>
            <w:t>D</w:t>
          </w:r>
          <w:r w:rsidR="00E028D9" w:rsidRPr="00E74AD6">
            <w:rPr>
              <w:b/>
              <w:bCs/>
              <w:color w:val="808080"/>
              <w:sz w:val="16"/>
            </w:rPr>
            <w:t>er praxisnahe Informationsdienst für die Leitung von ambulanten Pflegediensten</w:t>
          </w:r>
        </w:p>
      </w:tc>
    </w:tr>
  </w:tbl>
  <w:p w14:paraId="48CB915E" w14:textId="77777777" w:rsidR="007A7CA7" w:rsidRDefault="007A7CA7" w:rsidP="00DA1ADE">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101E6D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2251F2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627249DA"/>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FE4338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E95284A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11EDFBA"/>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626681DA"/>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4624C95"/>
    <w:multiLevelType w:val="hybridMultilevel"/>
    <w:tmpl w:val="834EF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DB46A5A"/>
    <w:multiLevelType w:val="hybridMultilevel"/>
    <w:tmpl w:val="95EC1920"/>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FF30E44"/>
    <w:multiLevelType w:val="hybridMultilevel"/>
    <w:tmpl w:val="98DEE20A"/>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1C31309"/>
    <w:multiLevelType w:val="hybridMultilevel"/>
    <w:tmpl w:val="02AE0F22"/>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1E95869"/>
    <w:multiLevelType w:val="hybridMultilevel"/>
    <w:tmpl w:val="E97E05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6A3C90"/>
    <w:multiLevelType w:val="hybridMultilevel"/>
    <w:tmpl w:val="384058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328B9F4"/>
    <w:multiLevelType w:val="hybridMultilevel"/>
    <w:tmpl w:val="4CE07C2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82669AA"/>
    <w:multiLevelType w:val="hybridMultilevel"/>
    <w:tmpl w:val="8EE0A812"/>
    <w:lvl w:ilvl="0" w:tplc="6D0A9578">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CCA7538"/>
    <w:multiLevelType w:val="hybridMultilevel"/>
    <w:tmpl w:val="8A1E16E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2D0B4149"/>
    <w:multiLevelType w:val="hybridMultilevel"/>
    <w:tmpl w:val="82C893C4"/>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D794621"/>
    <w:multiLevelType w:val="hybridMultilevel"/>
    <w:tmpl w:val="553EB2FE"/>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E443233"/>
    <w:multiLevelType w:val="hybridMultilevel"/>
    <w:tmpl w:val="33B88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6127CBB"/>
    <w:multiLevelType w:val="hybridMultilevel"/>
    <w:tmpl w:val="C32E3A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9885E9A"/>
    <w:multiLevelType w:val="hybridMultilevel"/>
    <w:tmpl w:val="1444C9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B3B0040"/>
    <w:multiLevelType w:val="hybridMultilevel"/>
    <w:tmpl w:val="72301D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8D7D93"/>
    <w:multiLevelType w:val="hybridMultilevel"/>
    <w:tmpl w:val="A1F49D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C644C20"/>
    <w:multiLevelType w:val="hybridMultilevel"/>
    <w:tmpl w:val="5DCA9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DFE577D"/>
    <w:multiLevelType w:val="hybridMultilevel"/>
    <w:tmpl w:val="62583C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0FEF9F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7" w15:restartNumberingAfterBreak="0">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8" w15:restartNumberingAfterBreak="0">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9" w15:restartNumberingAfterBreak="0">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0" w15:restartNumberingAfterBreak="0">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1" w15:restartNumberingAfterBreak="0">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2" w15:restartNumberingAfterBreak="0">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3" w15:restartNumberingAfterBreak="0">
    <w:nsid w:val="54D35FDE"/>
    <w:multiLevelType w:val="hybridMultilevel"/>
    <w:tmpl w:val="5FBC30F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6E56A39"/>
    <w:multiLevelType w:val="hybridMultilevel"/>
    <w:tmpl w:val="C606735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5D1A7516"/>
    <w:multiLevelType w:val="hybridMultilevel"/>
    <w:tmpl w:val="525AAA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E837821"/>
    <w:multiLevelType w:val="hybridMultilevel"/>
    <w:tmpl w:val="B31815B4"/>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73560183"/>
    <w:multiLevelType w:val="hybridMultilevel"/>
    <w:tmpl w:val="47E2288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58E0BED"/>
    <w:multiLevelType w:val="hybridMultilevel"/>
    <w:tmpl w:val="5F84D9AA"/>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7C5079F"/>
    <w:multiLevelType w:val="hybridMultilevel"/>
    <w:tmpl w:val="09C892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F227D71"/>
    <w:multiLevelType w:val="hybridMultilevel"/>
    <w:tmpl w:val="50CC07A0"/>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76634571">
    <w:abstractNumId w:val="21"/>
  </w:num>
  <w:num w:numId="2" w16cid:durableId="1523666159">
    <w:abstractNumId w:val="33"/>
  </w:num>
  <w:num w:numId="3" w16cid:durableId="1865754299">
    <w:abstractNumId w:val="39"/>
  </w:num>
  <w:num w:numId="4" w16cid:durableId="818304963">
    <w:abstractNumId w:val="22"/>
  </w:num>
  <w:num w:numId="5" w16cid:durableId="909541012">
    <w:abstractNumId w:val="11"/>
  </w:num>
  <w:num w:numId="6" w16cid:durableId="1327440480">
    <w:abstractNumId w:val="18"/>
  </w:num>
  <w:num w:numId="7" w16cid:durableId="1965695332">
    <w:abstractNumId w:val="26"/>
  </w:num>
  <w:num w:numId="8" w16cid:durableId="1631742190">
    <w:abstractNumId w:val="23"/>
  </w:num>
  <w:num w:numId="9" w16cid:durableId="507452013">
    <w:abstractNumId w:val="19"/>
  </w:num>
  <w:num w:numId="10" w16cid:durableId="1380588834">
    <w:abstractNumId w:val="7"/>
  </w:num>
  <w:num w:numId="11" w16cid:durableId="905796348">
    <w:abstractNumId w:val="35"/>
  </w:num>
  <w:num w:numId="12" w16cid:durableId="561402115">
    <w:abstractNumId w:val="28"/>
  </w:num>
  <w:num w:numId="13" w16cid:durableId="2137408609">
    <w:abstractNumId w:val="29"/>
  </w:num>
  <w:num w:numId="14" w16cid:durableId="1825924056">
    <w:abstractNumId w:val="27"/>
  </w:num>
  <w:num w:numId="15" w16cid:durableId="1575043430">
    <w:abstractNumId w:val="30"/>
  </w:num>
  <w:num w:numId="16" w16cid:durableId="260797494">
    <w:abstractNumId w:val="31"/>
  </w:num>
  <w:num w:numId="17" w16cid:durableId="1416823773">
    <w:abstractNumId w:val="32"/>
  </w:num>
  <w:num w:numId="18" w16cid:durableId="870455365">
    <w:abstractNumId w:val="6"/>
  </w:num>
  <w:num w:numId="19" w16cid:durableId="352223203">
    <w:abstractNumId w:val="5"/>
  </w:num>
  <w:num w:numId="20" w16cid:durableId="859202725">
    <w:abstractNumId w:val="4"/>
  </w:num>
  <w:num w:numId="21" w16cid:durableId="767504800">
    <w:abstractNumId w:val="3"/>
  </w:num>
  <w:num w:numId="22" w16cid:durableId="1270619908">
    <w:abstractNumId w:val="2"/>
  </w:num>
  <w:num w:numId="23" w16cid:durableId="1497067334">
    <w:abstractNumId w:val="13"/>
  </w:num>
  <w:num w:numId="24" w16cid:durableId="756941337">
    <w:abstractNumId w:val="8"/>
  </w:num>
  <w:num w:numId="25" w16cid:durableId="1145244037">
    <w:abstractNumId w:val="10"/>
  </w:num>
  <w:num w:numId="26" w16cid:durableId="1266232381">
    <w:abstractNumId w:val="36"/>
  </w:num>
  <w:num w:numId="27" w16cid:durableId="379787300">
    <w:abstractNumId w:val="38"/>
  </w:num>
  <w:num w:numId="28" w16cid:durableId="424151893">
    <w:abstractNumId w:val="40"/>
  </w:num>
  <w:num w:numId="29" w16cid:durableId="107509980">
    <w:abstractNumId w:val="37"/>
  </w:num>
  <w:num w:numId="30" w16cid:durableId="223221979">
    <w:abstractNumId w:val="16"/>
  </w:num>
  <w:num w:numId="31" w16cid:durableId="817040694">
    <w:abstractNumId w:val="17"/>
  </w:num>
  <w:num w:numId="32" w16cid:durableId="715274791">
    <w:abstractNumId w:val="1"/>
  </w:num>
  <w:num w:numId="33" w16cid:durableId="427164338">
    <w:abstractNumId w:val="0"/>
  </w:num>
  <w:num w:numId="34" w16cid:durableId="738597671">
    <w:abstractNumId w:val="24"/>
  </w:num>
  <w:num w:numId="35" w16cid:durableId="1122504715">
    <w:abstractNumId w:val="25"/>
  </w:num>
  <w:num w:numId="36" w16cid:durableId="1581913553">
    <w:abstractNumId w:val="12"/>
  </w:num>
  <w:num w:numId="37" w16cid:durableId="662127446">
    <w:abstractNumId w:val="15"/>
  </w:num>
  <w:num w:numId="38" w16cid:durableId="979842392">
    <w:abstractNumId w:val="20"/>
  </w:num>
  <w:num w:numId="39" w16cid:durableId="1447578536">
    <w:abstractNumId w:val="14"/>
  </w:num>
  <w:num w:numId="40" w16cid:durableId="119881607">
    <w:abstractNumId w:val="9"/>
  </w:num>
  <w:num w:numId="41" w16cid:durableId="1360551607">
    <w:abstractNumId w:val="3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15F"/>
    <w:rsid w:val="00022C51"/>
    <w:rsid w:val="00032A0C"/>
    <w:rsid w:val="00054253"/>
    <w:rsid w:val="00090BCE"/>
    <w:rsid w:val="000A7188"/>
    <w:rsid w:val="000B50CC"/>
    <w:rsid w:val="000C66D4"/>
    <w:rsid w:val="000C6A2D"/>
    <w:rsid w:val="0015409B"/>
    <w:rsid w:val="001B429B"/>
    <w:rsid w:val="001E33AA"/>
    <w:rsid w:val="00205D0C"/>
    <w:rsid w:val="00217B07"/>
    <w:rsid w:val="00217E03"/>
    <w:rsid w:val="00243397"/>
    <w:rsid w:val="0027096C"/>
    <w:rsid w:val="002766CF"/>
    <w:rsid w:val="0028515F"/>
    <w:rsid w:val="002A5D13"/>
    <w:rsid w:val="002B029B"/>
    <w:rsid w:val="002B4419"/>
    <w:rsid w:val="002D45E4"/>
    <w:rsid w:val="002E4378"/>
    <w:rsid w:val="002F41D3"/>
    <w:rsid w:val="003676E3"/>
    <w:rsid w:val="00380EF0"/>
    <w:rsid w:val="003E3400"/>
    <w:rsid w:val="003F062E"/>
    <w:rsid w:val="00433F51"/>
    <w:rsid w:val="004639C0"/>
    <w:rsid w:val="004955F6"/>
    <w:rsid w:val="004A47F9"/>
    <w:rsid w:val="004C2396"/>
    <w:rsid w:val="00501C72"/>
    <w:rsid w:val="0050689E"/>
    <w:rsid w:val="00536E92"/>
    <w:rsid w:val="00551B88"/>
    <w:rsid w:val="00581B4B"/>
    <w:rsid w:val="00587D31"/>
    <w:rsid w:val="005A7429"/>
    <w:rsid w:val="005D14F4"/>
    <w:rsid w:val="005E6B95"/>
    <w:rsid w:val="005E7D22"/>
    <w:rsid w:val="00614D0A"/>
    <w:rsid w:val="00644CE3"/>
    <w:rsid w:val="00653E72"/>
    <w:rsid w:val="00661981"/>
    <w:rsid w:val="006910F2"/>
    <w:rsid w:val="006A5CFE"/>
    <w:rsid w:val="006E18EF"/>
    <w:rsid w:val="00767817"/>
    <w:rsid w:val="007A7CA7"/>
    <w:rsid w:val="007B0290"/>
    <w:rsid w:val="007B1333"/>
    <w:rsid w:val="007C0AE5"/>
    <w:rsid w:val="007D2F6C"/>
    <w:rsid w:val="007D34A4"/>
    <w:rsid w:val="007E1A2E"/>
    <w:rsid w:val="00841FA8"/>
    <w:rsid w:val="008522CE"/>
    <w:rsid w:val="00852BFB"/>
    <w:rsid w:val="008633AC"/>
    <w:rsid w:val="00887070"/>
    <w:rsid w:val="008A7B1D"/>
    <w:rsid w:val="008B1F83"/>
    <w:rsid w:val="008C0D29"/>
    <w:rsid w:val="008D4072"/>
    <w:rsid w:val="008E62B1"/>
    <w:rsid w:val="009000A8"/>
    <w:rsid w:val="009352A5"/>
    <w:rsid w:val="00937B0B"/>
    <w:rsid w:val="009433D9"/>
    <w:rsid w:val="00983536"/>
    <w:rsid w:val="00985C2F"/>
    <w:rsid w:val="009A6365"/>
    <w:rsid w:val="009B721F"/>
    <w:rsid w:val="009E6591"/>
    <w:rsid w:val="009F64ED"/>
    <w:rsid w:val="00A06C64"/>
    <w:rsid w:val="00A42A0D"/>
    <w:rsid w:val="00A90130"/>
    <w:rsid w:val="00AD39D1"/>
    <w:rsid w:val="00AF17D9"/>
    <w:rsid w:val="00B01FFE"/>
    <w:rsid w:val="00B16885"/>
    <w:rsid w:val="00B67280"/>
    <w:rsid w:val="00B707AF"/>
    <w:rsid w:val="00B81586"/>
    <w:rsid w:val="00B87D52"/>
    <w:rsid w:val="00BD71E9"/>
    <w:rsid w:val="00C105A8"/>
    <w:rsid w:val="00C310AF"/>
    <w:rsid w:val="00C42D52"/>
    <w:rsid w:val="00C73E1A"/>
    <w:rsid w:val="00C91E68"/>
    <w:rsid w:val="00C9289F"/>
    <w:rsid w:val="00CC38C8"/>
    <w:rsid w:val="00CD4F0B"/>
    <w:rsid w:val="00D057BF"/>
    <w:rsid w:val="00D40D9B"/>
    <w:rsid w:val="00D56265"/>
    <w:rsid w:val="00D6029A"/>
    <w:rsid w:val="00D95C3C"/>
    <w:rsid w:val="00D96EA7"/>
    <w:rsid w:val="00D97E25"/>
    <w:rsid w:val="00DA1ADE"/>
    <w:rsid w:val="00DB32C7"/>
    <w:rsid w:val="00DD233A"/>
    <w:rsid w:val="00E028D9"/>
    <w:rsid w:val="00E2265E"/>
    <w:rsid w:val="00E508DB"/>
    <w:rsid w:val="00E74AD6"/>
    <w:rsid w:val="00ED7053"/>
    <w:rsid w:val="00EE4132"/>
    <w:rsid w:val="00F051B0"/>
    <w:rsid w:val="00F20663"/>
    <w:rsid w:val="00F52DB1"/>
    <w:rsid w:val="00F57C10"/>
    <w:rsid w:val="00FA19D7"/>
    <w:rsid w:val="00FC27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13F16"/>
  <w15:chartTrackingRefBased/>
  <w15:docId w15:val="{850EB6E3-59BF-49E5-9A77-9B93423A1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styleId="Funotentext">
    <w:name w:val="footnote text"/>
    <w:basedOn w:val="Standard"/>
    <w:semiHidden/>
    <w:rsid w:val="00581B4B"/>
    <w:rPr>
      <w:sz w:val="20"/>
      <w:szCs w:val="20"/>
    </w:rPr>
  </w:style>
  <w:style w:type="character" w:styleId="Funotenzeichen">
    <w:name w:val="footnote reference"/>
    <w:semiHidden/>
    <w:rsid w:val="00581B4B"/>
    <w:rPr>
      <w:vertAlign w:val="superscript"/>
    </w:rPr>
  </w:style>
  <w:style w:type="paragraph" w:customStyle="1" w:styleId="Pa3">
    <w:name w:val="Pa3"/>
    <w:basedOn w:val="Standard"/>
    <w:next w:val="Standard"/>
    <w:uiPriority w:val="99"/>
    <w:rsid w:val="009F64ED"/>
    <w:pPr>
      <w:autoSpaceDE w:val="0"/>
      <w:autoSpaceDN w:val="0"/>
      <w:adjustRightInd w:val="0"/>
      <w:spacing w:after="0" w:line="201" w:lineRule="atLeast"/>
    </w:pPr>
    <w:rPr>
      <w:rFonts w:ascii="Agfa Rotis Semisans" w:hAnsi="Agfa Rotis Semisans"/>
      <w:sz w:val="24"/>
      <w:szCs w:val="24"/>
      <w:lang w:eastAsia="de-DE"/>
    </w:rPr>
  </w:style>
  <w:style w:type="paragraph" w:customStyle="1" w:styleId="Pa14">
    <w:name w:val="Pa14"/>
    <w:basedOn w:val="Standard"/>
    <w:next w:val="Standard"/>
    <w:uiPriority w:val="99"/>
    <w:rsid w:val="005E7D22"/>
    <w:pPr>
      <w:autoSpaceDE w:val="0"/>
      <w:autoSpaceDN w:val="0"/>
      <w:adjustRightInd w:val="0"/>
      <w:spacing w:after="0" w:line="181" w:lineRule="atLeast"/>
    </w:pPr>
    <w:rPr>
      <w:rFonts w:ascii="Open Sans" w:hAnsi="Open Sans"/>
      <w:sz w:val="24"/>
      <w:szCs w:val="24"/>
      <w:lang w:eastAsia="de-DE"/>
    </w:rPr>
  </w:style>
  <w:style w:type="paragraph" w:customStyle="1" w:styleId="Default">
    <w:name w:val="Default"/>
    <w:rsid w:val="00090BCE"/>
    <w:pPr>
      <w:autoSpaceDE w:val="0"/>
      <w:autoSpaceDN w:val="0"/>
      <w:adjustRightInd w:val="0"/>
    </w:pPr>
    <w:rPr>
      <w:rFonts w:ascii="Times New Roman" w:eastAsiaTheme="minorHAnsi" w:hAnsi="Times New Roman"/>
      <w:color w:val="000000"/>
      <w:sz w:val="24"/>
      <w:szCs w:val="24"/>
      <w:lang w:eastAsia="en-US"/>
    </w:rPr>
  </w:style>
  <w:style w:type="paragraph" w:styleId="Textkrper2">
    <w:name w:val="Body Text 2"/>
    <w:basedOn w:val="Standard"/>
    <w:link w:val="Textkrper2Zchn"/>
    <w:semiHidden/>
    <w:rsid w:val="00090BCE"/>
    <w:pPr>
      <w:spacing w:after="0" w:line="240" w:lineRule="auto"/>
    </w:pPr>
    <w:rPr>
      <w:rFonts w:ascii="Times New Roman" w:eastAsia="Times New Roman" w:hAnsi="Times New Roman"/>
      <w:sz w:val="20"/>
      <w:szCs w:val="24"/>
      <w:lang w:eastAsia="de-DE"/>
    </w:rPr>
  </w:style>
  <w:style w:type="character" w:customStyle="1" w:styleId="Textkrper2Zchn">
    <w:name w:val="Textkörper 2 Zchn"/>
    <w:basedOn w:val="Absatz-Standardschriftart"/>
    <w:link w:val="Textkrper2"/>
    <w:semiHidden/>
    <w:rsid w:val="00090BCE"/>
    <w:rPr>
      <w:rFonts w:ascii="Times New Roman" w:eastAsia="Times New Roman" w:hAnsi="Times New Roman"/>
      <w:szCs w:val="24"/>
    </w:rPr>
  </w:style>
  <w:style w:type="paragraph" w:customStyle="1" w:styleId="BodyText21">
    <w:name w:val="Body Text 21"/>
    <w:basedOn w:val="Standard"/>
    <w:rsid w:val="00090BCE"/>
    <w:pPr>
      <w:overflowPunct w:val="0"/>
      <w:autoSpaceDE w:val="0"/>
      <w:autoSpaceDN w:val="0"/>
      <w:adjustRightInd w:val="0"/>
      <w:spacing w:after="0" w:line="240" w:lineRule="auto"/>
      <w:textAlignment w:val="baseline"/>
    </w:pPr>
    <w:rPr>
      <w:rFonts w:ascii="Times New Roman" w:eastAsia="Times New Roman" w:hAnsi="Times New Roman"/>
      <w:sz w:val="18"/>
      <w:szCs w:val="18"/>
      <w:lang w:eastAsia="de-DE"/>
    </w:rPr>
  </w:style>
  <w:style w:type="paragraph" w:styleId="Textkrper3">
    <w:name w:val="Body Text 3"/>
    <w:basedOn w:val="Standard"/>
    <w:link w:val="Textkrper3Zchn"/>
    <w:semiHidden/>
    <w:rsid w:val="00090BCE"/>
    <w:pPr>
      <w:spacing w:after="0" w:line="240" w:lineRule="auto"/>
    </w:pPr>
    <w:rPr>
      <w:rFonts w:ascii="Times New Roman" w:eastAsia="Times New Roman" w:hAnsi="Times New Roman"/>
      <w:b/>
      <w:bCs/>
      <w:sz w:val="18"/>
      <w:szCs w:val="20"/>
      <w:lang w:eastAsia="de-DE"/>
    </w:rPr>
  </w:style>
  <w:style w:type="character" w:customStyle="1" w:styleId="Textkrper3Zchn">
    <w:name w:val="Textkörper 3 Zchn"/>
    <w:basedOn w:val="Absatz-Standardschriftart"/>
    <w:link w:val="Textkrper3"/>
    <w:semiHidden/>
    <w:rsid w:val="00090BCE"/>
    <w:rPr>
      <w:rFonts w:ascii="Times New Roman" w:eastAsia="Times New Roman" w:hAnsi="Times New Roman"/>
      <w:b/>
      <w:bCs/>
      <w:sz w:val="18"/>
    </w:rPr>
  </w:style>
  <w:style w:type="paragraph" w:customStyle="1" w:styleId="Text">
    <w:name w:val="Text"/>
    <w:basedOn w:val="Standard"/>
    <w:rsid w:val="00090BCE"/>
    <w:pPr>
      <w:autoSpaceDE w:val="0"/>
      <w:autoSpaceDN w:val="0"/>
      <w:spacing w:after="80" w:line="260" w:lineRule="atLeast"/>
    </w:pPr>
    <w:rPr>
      <w:rFonts w:ascii="Arial" w:eastAsia="Times New Roman" w:hAnsi="Arial" w:cs="Arial"/>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4712658">
      <w:bodyDiv w:val="1"/>
      <w:marLeft w:val="0"/>
      <w:marRight w:val="0"/>
      <w:marTop w:val="0"/>
      <w:marBottom w:val="0"/>
      <w:divBdr>
        <w:top w:val="none" w:sz="0" w:space="0" w:color="auto"/>
        <w:left w:val="none" w:sz="0" w:space="0" w:color="auto"/>
        <w:bottom w:val="none" w:sz="0" w:space="0" w:color="auto"/>
        <w:right w:val="none" w:sz="0" w:space="0" w:color="auto"/>
      </w:divBdr>
    </w:div>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874</Words>
  <Characters>5508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subject/>
  <dc:creator>Dominik Muhle</dc:creator>
  <cp:keywords/>
  <cp:lastModifiedBy>Ina Hold</cp:lastModifiedBy>
  <cp:revision>2</cp:revision>
  <cp:lastPrinted>2013-12-09T12:30:00Z</cp:lastPrinted>
  <dcterms:created xsi:type="dcterms:W3CDTF">2026-08-06T09:00:00Z</dcterms:created>
  <dcterms:modified xsi:type="dcterms:W3CDTF">2026-08-06T09:00:00Z</dcterms:modified>
</cp:coreProperties>
</file>