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1C2F5" w14:textId="77777777" w:rsidR="00586C5B" w:rsidRDefault="00586C5B" w:rsidP="00586C5B">
      <w:pPr>
        <w:tabs>
          <w:tab w:val="left" w:pos="5280"/>
        </w:tabs>
        <w:rPr>
          <w:b/>
          <w:noProof/>
          <w:lang w:eastAsia="de-DE"/>
        </w:rPr>
      </w:pPr>
    </w:p>
    <w:p w14:paraId="4135834C" w14:textId="77777777" w:rsidR="003F1DD3" w:rsidRDefault="003F1DD3" w:rsidP="00C73E1A"/>
    <w:p w14:paraId="196C7F09" w14:textId="77777777" w:rsidR="00FC668C" w:rsidRDefault="00FC668C" w:rsidP="00210C46">
      <w:pPr>
        <w:spacing w:before="120" w:after="120"/>
        <w:rPr>
          <w:rFonts w:ascii="Arial" w:hAnsi="Arial" w:cs="Arial"/>
          <w:color w:val="000000" w:themeColor="text1"/>
          <w:sz w:val="24"/>
        </w:rPr>
      </w:pPr>
    </w:p>
    <w:p w14:paraId="6A644791" w14:textId="3FBF06BC" w:rsidR="00FC668C" w:rsidRPr="008D75B7" w:rsidRDefault="00FC668C" w:rsidP="00FC668C">
      <w:pPr>
        <w:pStyle w:val="StandardWeb"/>
        <w:spacing w:before="0" w:beforeAutospacing="0" w:after="0" w:afterAutospacing="0"/>
        <w:rPr>
          <w:rFonts w:ascii="Arial" w:hAnsi="Arial" w:cs="Arial"/>
        </w:rPr>
      </w:pPr>
    </w:p>
    <w:tbl>
      <w:tblPr>
        <w:tblStyle w:val="Tabellenraster"/>
        <w:tblW w:w="10768" w:type="dxa"/>
        <w:jc w:val="center"/>
        <w:tblLook w:val="04A0" w:firstRow="1" w:lastRow="0" w:firstColumn="1" w:lastColumn="0" w:noHBand="0" w:noVBand="1"/>
      </w:tblPr>
      <w:tblGrid>
        <w:gridCol w:w="2689"/>
        <w:gridCol w:w="4110"/>
        <w:gridCol w:w="3969"/>
      </w:tblGrid>
      <w:tr w:rsidR="00FC668C" w:rsidRPr="00FC668C" w14:paraId="02743B56" w14:textId="77777777" w:rsidTr="00FC668C">
        <w:trPr>
          <w:jc w:val="center"/>
        </w:trPr>
        <w:tc>
          <w:tcPr>
            <w:tcW w:w="10768" w:type="dxa"/>
            <w:gridSpan w:val="3"/>
            <w:shd w:val="clear" w:color="auto" w:fill="2E75CC"/>
          </w:tcPr>
          <w:p w14:paraId="3954BA1A" w14:textId="1E722561" w:rsidR="00FC668C" w:rsidRPr="00FC668C" w:rsidRDefault="00FC668C" w:rsidP="00FC668C">
            <w:pPr>
              <w:spacing w:before="120" w:after="120"/>
              <w:rPr>
                <w:rFonts w:ascii="Arial" w:hAnsi="Arial" w:cs="Arial"/>
                <w:b/>
                <w:color w:val="FFFFFF"/>
                <w:sz w:val="28"/>
                <w:szCs w:val="28"/>
              </w:rPr>
            </w:pPr>
            <w:r w:rsidRPr="00FC668C">
              <w:rPr>
                <w:rFonts w:ascii="Arial" w:hAnsi="Arial" w:cs="Arial"/>
                <w:b/>
                <w:color w:val="FFFFFF"/>
                <w:sz w:val="28"/>
                <w:szCs w:val="28"/>
              </w:rPr>
              <w:t>Übersicht: TOP-Prinzip in Bezug auf Schichtarbeit</w:t>
            </w:r>
          </w:p>
        </w:tc>
      </w:tr>
      <w:tr w:rsidR="00FC668C" w:rsidRPr="00FC668C" w14:paraId="34A41B3A" w14:textId="77777777" w:rsidTr="00FC668C">
        <w:trPr>
          <w:jc w:val="center"/>
        </w:trPr>
        <w:tc>
          <w:tcPr>
            <w:tcW w:w="2689" w:type="dxa"/>
            <w:shd w:val="clear" w:color="auto" w:fill="B0C0DA"/>
          </w:tcPr>
          <w:p w14:paraId="241A662F" w14:textId="77777777" w:rsidR="00FC668C" w:rsidRPr="00FC668C" w:rsidRDefault="00FC668C" w:rsidP="00FC668C">
            <w:pPr>
              <w:spacing w:before="120" w:after="120"/>
              <w:rPr>
                <w:rFonts w:ascii="Arial" w:hAnsi="Arial" w:cs="Arial"/>
                <w:b/>
                <w:bCs/>
                <w:color w:val="000000" w:themeColor="text1"/>
                <w:sz w:val="24"/>
              </w:rPr>
            </w:pPr>
          </w:p>
        </w:tc>
        <w:tc>
          <w:tcPr>
            <w:tcW w:w="4110" w:type="dxa"/>
            <w:shd w:val="clear" w:color="auto" w:fill="B0C0DA"/>
          </w:tcPr>
          <w:p w14:paraId="23CEF11E" w14:textId="77777777" w:rsidR="00FC668C" w:rsidRPr="00FC668C" w:rsidRDefault="00FC668C" w:rsidP="00FC668C">
            <w:pPr>
              <w:spacing w:before="120" w:after="120"/>
              <w:rPr>
                <w:rFonts w:ascii="Arial" w:hAnsi="Arial" w:cs="Arial"/>
                <w:b/>
                <w:bCs/>
                <w:color w:val="000000" w:themeColor="text1"/>
                <w:sz w:val="24"/>
              </w:rPr>
            </w:pPr>
            <w:r w:rsidRPr="00FC668C">
              <w:rPr>
                <w:rFonts w:ascii="Arial" w:hAnsi="Arial" w:cs="Arial"/>
                <w:b/>
                <w:bCs/>
                <w:color w:val="000000" w:themeColor="text1"/>
                <w:sz w:val="24"/>
              </w:rPr>
              <w:t>Erläuterung</w:t>
            </w:r>
          </w:p>
        </w:tc>
        <w:tc>
          <w:tcPr>
            <w:tcW w:w="3969" w:type="dxa"/>
            <w:shd w:val="clear" w:color="auto" w:fill="B0C0DA"/>
          </w:tcPr>
          <w:p w14:paraId="5504CFC8" w14:textId="77777777" w:rsidR="00FC668C" w:rsidRPr="00FC668C" w:rsidRDefault="00FC668C" w:rsidP="00FC668C">
            <w:pPr>
              <w:spacing w:before="120" w:after="120"/>
              <w:rPr>
                <w:rFonts w:ascii="Arial" w:hAnsi="Arial" w:cs="Arial"/>
                <w:b/>
                <w:bCs/>
                <w:color w:val="000000" w:themeColor="text1"/>
                <w:sz w:val="24"/>
              </w:rPr>
            </w:pPr>
            <w:r w:rsidRPr="00FC668C">
              <w:rPr>
                <w:rFonts w:ascii="Arial" w:hAnsi="Arial" w:cs="Arial"/>
                <w:b/>
                <w:bCs/>
                <w:color w:val="000000" w:themeColor="text1"/>
                <w:sz w:val="24"/>
              </w:rPr>
              <w:t>Beispiele</w:t>
            </w:r>
          </w:p>
        </w:tc>
      </w:tr>
      <w:tr w:rsidR="00FC668C" w:rsidRPr="00FC668C" w14:paraId="6758B586" w14:textId="77777777" w:rsidTr="00FC668C">
        <w:trPr>
          <w:jc w:val="center"/>
        </w:trPr>
        <w:tc>
          <w:tcPr>
            <w:tcW w:w="2689" w:type="dxa"/>
          </w:tcPr>
          <w:p w14:paraId="16B5454F" w14:textId="77777777" w:rsidR="00FC668C" w:rsidRPr="00FC668C" w:rsidRDefault="00FC668C" w:rsidP="00FC668C">
            <w:pPr>
              <w:spacing w:before="120" w:after="120"/>
              <w:rPr>
                <w:rFonts w:ascii="Arial" w:hAnsi="Arial" w:cs="Arial"/>
                <w:color w:val="000000" w:themeColor="text1"/>
                <w:sz w:val="24"/>
              </w:rPr>
            </w:pPr>
            <w:r w:rsidRPr="00FC668C">
              <w:rPr>
                <w:rFonts w:ascii="Arial" w:hAnsi="Arial" w:cs="Arial"/>
                <w:color w:val="000000" w:themeColor="text1"/>
                <w:sz w:val="24"/>
              </w:rPr>
              <w:t xml:space="preserve">T = </w:t>
            </w:r>
            <w:proofErr w:type="gramStart"/>
            <w:r w:rsidRPr="00FC668C">
              <w:rPr>
                <w:rFonts w:ascii="Arial" w:hAnsi="Arial" w:cs="Arial"/>
                <w:color w:val="000000" w:themeColor="text1"/>
                <w:sz w:val="24"/>
              </w:rPr>
              <w:t>Technisch</w:t>
            </w:r>
            <w:proofErr w:type="gramEnd"/>
          </w:p>
        </w:tc>
        <w:tc>
          <w:tcPr>
            <w:tcW w:w="4110" w:type="dxa"/>
          </w:tcPr>
          <w:p w14:paraId="433094E2" w14:textId="77777777" w:rsidR="00FC668C" w:rsidRPr="00FC668C" w:rsidRDefault="00FC668C" w:rsidP="00FC668C">
            <w:pPr>
              <w:spacing w:before="120" w:after="120"/>
              <w:rPr>
                <w:rFonts w:ascii="Arial" w:hAnsi="Arial" w:cs="Arial"/>
                <w:color w:val="000000" w:themeColor="text1"/>
                <w:sz w:val="24"/>
              </w:rPr>
            </w:pPr>
            <w:r w:rsidRPr="00FC668C">
              <w:rPr>
                <w:rFonts w:ascii="Arial" w:hAnsi="Arial" w:cs="Arial"/>
                <w:color w:val="000000" w:themeColor="text1"/>
                <w:sz w:val="24"/>
              </w:rPr>
              <w:t>Technische Maßnahmen können Schichtarbeit nicht verhindern, aber ihre zusätzlichen Belastungen reduzieren. Gerade nachts sollte z. B. ein wichtiges Hilfsmittel nicht erst auf einem anderen Wohnberiech gesucht werden müssen.</w:t>
            </w:r>
          </w:p>
        </w:tc>
        <w:tc>
          <w:tcPr>
            <w:tcW w:w="3969" w:type="dxa"/>
          </w:tcPr>
          <w:p w14:paraId="39CC69E2" w14:textId="77777777" w:rsidR="00FC668C" w:rsidRPr="00FC668C" w:rsidRDefault="00FC668C" w:rsidP="00FC668C">
            <w:pPr>
              <w:pStyle w:val="Listenabsatz"/>
              <w:numPr>
                <w:ilvl w:val="0"/>
                <w:numId w:val="39"/>
              </w:numPr>
              <w:spacing w:before="120" w:after="120" w:line="276" w:lineRule="auto"/>
              <w:ind w:left="436"/>
              <w:rPr>
                <w:rFonts w:ascii="Arial" w:eastAsiaTheme="minorHAnsi" w:hAnsi="Arial" w:cs="Arial"/>
                <w:color w:val="000000" w:themeColor="text1"/>
                <w:sz w:val="24"/>
              </w:rPr>
            </w:pPr>
            <w:r w:rsidRPr="00FC668C">
              <w:rPr>
                <w:rFonts w:ascii="Arial" w:eastAsiaTheme="minorHAnsi" w:hAnsi="Arial" w:cs="Arial"/>
                <w:color w:val="000000" w:themeColor="text1"/>
                <w:sz w:val="24"/>
              </w:rPr>
              <w:t>Ausreichende Beleuchtung</w:t>
            </w:r>
          </w:p>
          <w:p w14:paraId="7206DD63" w14:textId="77777777" w:rsidR="00FC668C" w:rsidRPr="00FC668C" w:rsidRDefault="00FC668C" w:rsidP="00FC668C">
            <w:pPr>
              <w:pStyle w:val="Listenabsatz"/>
              <w:numPr>
                <w:ilvl w:val="0"/>
                <w:numId w:val="39"/>
              </w:numPr>
              <w:spacing w:before="120" w:after="120" w:line="276" w:lineRule="auto"/>
              <w:ind w:left="436"/>
              <w:rPr>
                <w:rFonts w:ascii="Arial" w:eastAsiaTheme="minorHAnsi" w:hAnsi="Arial" w:cs="Arial"/>
                <w:color w:val="000000" w:themeColor="text1"/>
                <w:sz w:val="24"/>
              </w:rPr>
            </w:pPr>
            <w:r w:rsidRPr="00FC668C">
              <w:rPr>
                <w:rFonts w:ascii="Arial" w:eastAsiaTheme="minorHAnsi" w:hAnsi="Arial" w:cs="Arial"/>
                <w:color w:val="000000" w:themeColor="text1"/>
                <w:sz w:val="24"/>
              </w:rPr>
              <w:t>Ergonomische Arbeitsplätze</w:t>
            </w:r>
          </w:p>
          <w:p w14:paraId="0C681A73" w14:textId="77777777" w:rsidR="00FC668C" w:rsidRPr="00FC668C" w:rsidRDefault="00FC668C" w:rsidP="00FC668C">
            <w:pPr>
              <w:pStyle w:val="Listenabsatz"/>
              <w:numPr>
                <w:ilvl w:val="0"/>
                <w:numId w:val="39"/>
              </w:numPr>
              <w:spacing w:before="120" w:after="120" w:line="276" w:lineRule="auto"/>
              <w:ind w:left="436"/>
              <w:rPr>
                <w:rFonts w:ascii="Arial" w:eastAsiaTheme="minorHAnsi" w:hAnsi="Arial" w:cs="Arial"/>
                <w:color w:val="000000" w:themeColor="text1"/>
                <w:sz w:val="24"/>
              </w:rPr>
            </w:pPr>
            <w:r w:rsidRPr="00FC668C">
              <w:rPr>
                <w:rFonts w:ascii="Arial" w:eastAsiaTheme="minorHAnsi" w:hAnsi="Arial" w:cs="Arial"/>
                <w:color w:val="000000" w:themeColor="text1"/>
                <w:sz w:val="24"/>
              </w:rPr>
              <w:t>Verfügbare und funktionsfähige Hilfs- und Arbeitsmittel</w:t>
            </w:r>
          </w:p>
          <w:p w14:paraId="10CB6E72" w14:textId="77777777" w:rsidR="00FC668C" w:rsidRPr="00FC668C" w:rsidRDefault="00FC668C" w:rsidP="00FC668C">
            <w:pPr>
              <w:pStyle w:val="Listenabsatz"/>
              <w:numPr>
                <w:ilvl w:val="0"/>
                <w:numId w:val="39"/>
              </w:numPr>
              <w:spacing w:before="120" w:after="120" w:line="276" w:lineRule="auto"/>
              <w:ind w:left="436"/>
              <w:rPr>
                <w:rFonts w:ascii="Arial" w:eastAsiaTheme="minorHAnsi" w:hAnsi="Arial" w:cs="Arial"/>
                <w:color w:val="000000" w:themeColor="text1"/>
                <w:sz w:val="24"/>
              </w:rPr>
            </w:pPr>
            <w:r w:rsidRPr="00FC668C">
              <w:rPr>
                <w:rFonts w:ascii="Arial" w:eastAsiaTheme="minorHAnsi" w:hAnsi="Arial" w:cs="Arial"/>
                <w:color w:val="000000" w:themeColor="text1"/>
                <w:sz w:val="24"/>
              </w:rPr>
              <w:t>Technische Unterstützung bei der Dokumentation</w:t>
            </w:r>
          </w:p>
        </w:tc>
      </w:tr>
      <w:tr w:rsidR="00FC668C" w:rsidRPr="00FC668C" w14:paraId="7FBD72C6" w14:textId="77777777" w:rsidTr="00FC668C">
        <w:trPr>
          <w:jc w:val="center"/>
        </w:trPr>
        <w:tc>
          <w:tcPr>
            <w:tcW w:w="2689" w:type="dxa"/>
          </w:tcPr>
          <w:p w14:paraId="5138B2AA" w14:textId="77777777" w:rsidR="00FC668C" w:rsidRPr="00FC668C" w:rsidRDefault="00FC668C" w:rsidP="00FC668C">
            <w:pPr>
              <w:spacing w:before="120" w:after="120"/>
              <w:rPr>
                <w:rFonts w:ascii="Arial" w:hAnsi="Arial" w:cs="Arial"/>
                <w:color w:val="000000" w:themeColor="text1"/>
                <w:sz w:val="24"/>
              </w:rPr>
            </w:pPr>
            <w:r w:rsidRPr="00FC668C">
              <w:rPr>
                <w:rFonts w:ascii="Arial" w:hAnsi="Arial" w:cs="Arial"/>
                <w:color w:val="000000" w:themeColor="text1"/>
                <w:sz w:val="24"/>
              </w:rPr>
              <w:t xml:space="preserve">O = </w:t>
            </w:r>
            <w:proofErr w:type="gramStart"/>
            <w:r w:rsidRPr="00FC668C">
              <w:rPr>
                <w:rFonts w:ascii="Arial" w:hAnsi="Arial" w:cs="Arial"/>
                <w:color w:val="000000" w:themeColor="text1"/>
                <w:sz w:val="24"/>
              </w:rPr>
              <w:t>Organisatorisch</w:t>
            </w:r>
            <w:proofErr w:type="gramEnd"/>
          </w:p>
        </w:tc>
        <w:tc>
          <w:tcPr>
            <w:tcW w:w="4110" w:type="dxa"/>
          </w:tcPr>
          <w:p w14:paraId="072B0D8F" w14:textId="77777777" w:rsidR="00FC668C" w:rsidRPr="00FC668C" w:rsidRDefault="00FC668C" w:rsidP="00FC668C">
            <w:pPr>
              <w:spacing w:before="120" w:after="120"/>
              <w:rPr>
                <w:rFonts w:ascii="Arial" w:hAnsi="Arial" w:cs="Arial"/>
                <w:color w:val="000000" w:themeColor="text1"/>
                <w:sz w:val="24"/>
              </w:rPr>
            </w:pPr>
            <w:r w:rsidRPr="00FC668C">
              <w:rPr>
                <w:rFonts w:ascii="Arial" w:hAnsi="Arial" w:cs="Arial"/>
                <w:color w:val="000000" w:themeColor="text1"/>
                <w:sz w:val="24"/>
              </w:rPr>
              <w:t>Hier liegt der größte Hebel. Die Deutsche Gesetzliche Unfallversicherung und die Bundesanstalt für Arbeitsschutz und Arbeitsmedizin empfehlen, Schichtsysteme nach arbeitswissenschaftlichen Erkenntnissen zu gestalten. Ausdrücklich wird empfohlen, dass eine Arbeitsschicht nicht länger als 8 Stunden dauern sollte. Auch die Arbeitsmenge gehört auf den Prüfstand.</w:t>
            </w:r>
          </w:p>
        </w:tc>
        <w:tc>
          <w:tcPr>
            <w:tcW w:w="3969" w:type="dxa"/>
          </w:tcPr>
          <w:p w14:paraId="19B3ECB6" w14:textId="77777777" w:rsidR="00FC668C" w:rsidRPr="00FC668C" w:rsidRDefault="00FC668C" w:rsidP="00FC668C">
            <w:pPr>
              <w:spacing w:before="120" w:after="120"/>
              <w:rPr>
                <w:rFonts w:ascii="Arial" w:hAnsi="Arial" w:cs="Arial"/>
                <w:color w:val="000000" w:themeColor="text1"/>
                <w:sz w:val="24"/>
              </w:rPr>
            </w:pPr>
            <w:r w:rsidRPr="00FC668C">
              <w:rPr>
                <w:rFonts w:ascii="Arial" w:hAnsi="Arial" w:cs="Arial"/>
                <w:color w:val="000000" w:themeColor="text1"/>
                <w:sz w:val="24"/>
              </w:rPr>
              <w:t>Wie bereits dargestellt ist Folgendes wichtig: Schichtfolgen gesundheitsgerecht planen, ausreichende Erholungszeiten sicherstellen, Pausen ermöglichen und kurzfristige Dienstplanänderungen möglichst vermeiden.</w:t>
            </w:r>
          </w:p>
          <w:p w14:paraId="268CB9B7" w14:textId="77777777" w:rsidR="00FC668C" w:rsidRPr="00FC668C" w:rsidRDefault="00FC668C" w:rsidP="00FC668C">
            <w:pPr>
              <w:spacing w:before="120" w:after="120"/>
              <w:rPr>
                <w:rFonts w:ascii="Arial" w:hAnsi="Arial" w:cs="Arial"/>
                <w:color w:val="000000" w:themeColor="text1"/>
                <w:sz w:val="24"/>
              </w:rPr>
            </w:pPr>
          </w:p>
        </w:tc>
      </w:tr>
      <w:tr w:rsidR="00FC668C" w:rsidRPr="00FC668C" w14:paraId="33E321A5" w14:textId="77777777" w:rsidTr="00FC668C">
        <w:trPr>
          <w:jc w:val="center"/>
        </w:trPr>
        <w:tc>
          <w:tcPr>
            <w:tcW w:w="2689" w:type="dxa"/>
          </w:tcPr>
          <w:p w14:paraId="21E91935" w14:textId="77777777" w:rsidR="00FC668C" w:rsidRPr="00FC668C" w:rsidRDefault="00FC668C" w:rsidP="00FC668C">
            <w:pPr>
              <w:spacing w:before="120" w:after="120"/>
              <w:rPr>
                <w:rFonts w:ascii="Arial" w:hAnsi="Arial" w:cs="Arial"/>
                <w:color w:val="000000" w:themeColor="text1"/>
                <w:sz w:val="24"/>
              </w:rPr>
            </w:pPr>
            <w:r w:rsidRPr="00FC668C">
              <w:rPr>
                <w:rFonts w:ascii="Arial" w:hAnsi="Arial" w:cs="Arial"/>
                <w:color w:val="000000" w:themeColor="text1"/>
                <w:sz w:val="24"/>
              </w:rPr>
              <w:t xml:space="preserve">P = </w:t>
            </w:r>
            <w:proofErr w:type="gramStart"/>
            <w:r w:rsidRPr="00FC668C">
              <w:rPr>
                <w:rFonts w:ascii="Arial" w:hAnsi="Arial" w:cs="Arial"/>
                <w:color w:val="000000" w:themeColor="text1"/>
                <w:sz w:val="24"/>
              </w:rPr>
              <w:t>Personenbezogen</w:t>
            </w:r>
            <w:proofErr w:type="gramEnd"/>
          </w:p>
        </w:tc>
        <w:tc>
          <w:tcPr>
            <w:tcW w:w="4110" w:type="dxa"/>
          </w:tcPr>
          <w:p w14:paraId="0678C2BA" w14:textId="77777777" w:rsidR="00FC668C" w:rsidRPr="00FC668C" w:rsidRDefault="00FC668C" w:rsidP="00FC668C">
            <w:pPr>
              <w:spacing w:before="120" w:after="120"/>
              <w:rPr>
                <w:rFonts w:ascii="Arial" w:hAnsi="Arial" w:cs="Arial"/>
                <w:color w:val="000000" w:themeColor="text1"/>
                <w:sz w:val="24"/>
              </w:rPr>
            </w:pPr>
            <w:r w:rsidRPr="00FC668C">
              <w:rPr>
                <w:rFonts w:ascii="Arial" w:hAnsi="Arial" w:cs="Arial"/>
                <w:color w:val="000000" w:themeColor="text1"/>
                <w:sz w:val="24"/>
              </w:rPr>
              <w:t xml:space="preserve">Hier geht es darum, was die einzelnen Beschäftigten selbst tun können. Hierzu gehört auch der Anspruch von </w:t>
            </w:r>
            <w:proofErr w:type="spellStart"/>
            <w:r w:rsidRPr="00FC668C">
              <w:rPr>
                <w:rFonts w:ascii="Arial" w:hAnsi="Arial" w:cs="Arial"/>
                <w:color w:val="000000" w:themeColor="text1"/>
                <w:sz w:val="24"/>
              </w:rPr>
              <w:t>Nachtarbeitnehmenden</w:t>
            </w:r>
            <w:proofErr w:type="spellEnd"/>
            <w:r w:rsidRPr="00FC668C">
              <w:rPr>
                <w:rFonts w:ascii="Arial" w:hAnsi="Arial" w:cs="Arial"/>
                <w:color w:val="000000" w:themeColor="text1"/>
                <w:sz w:val="24"/>
              </w:rPr>
              <w:t xml:space="preserve"> auf regelmäßige arbeitsmedizinische Untersuchungen. Die personenbezogenen Maßnahmen setzen nach den technischen und organisatorischen an. Denn was nützt es, wenn wir jemandem sagen: „Schlaf mehr“, wenn der Dienstplan nicht entsprechend gestaltet ist?</w:t>
            </w:r>
          </w:p>
        </w:tc>
        <w:tc>
          <w:tcPr>
            <w:tcW w:w="3969" w:type="dxa"/>
          </w:tcPr>
          <w:p w14:paraId="61D2FD16" w14:textId="77777777" w:rsidR="00FC668C" w:rsidRPr="00FC668C" w:rsidRDefault="00FC668C" w:rsidP="00FC668C">
            <w:pPr>
              <w:pStyle w:val="Listenabsatz"/>
              <w:numPr>
                <w:ilvl w:val="0"/>
                <w:numId w:val="39"/>
              </w:numPr>
              <w:spacing w:before="120" w:after="120" w:line="276" w:lineRule="auto"/>
              <w:ind w:left="436"/>
              <w:rPr>
                <w:rFonts w:ascii="Arial" w:eastAsiaTheme="minorHAnsi" w:hAnsi="Arial" w:cs="Arial"/>
                <w:color w:val="000000" w:themeColor="text1"/>
                <w:sz w:val="24"/>
              </w:rPr>
            </w:pPr>
            <w:r w:rsidRPr="00FC668C">
              <w:rPr>
                <w:rFonts w:ascii="Arial" w:hAnsi="Arial" w:cs="Arial"/>
                <w:color w:val="000000" w:themeColor="text1"/>
                <w:sz w:val="24"/>
                <w:szCs w:val="22"/>
              </w:rPr>
              <w:t>Information und Schulung über Schlaf und Schlafhygiene, Ernä</w:t>
            </w:r>
            <w:r w:rsidRPr="00FC668C">
              <w:rPr>
                <w:rFonts w:ascii="Arial" w:eastAsiaTheme="minorHAnsi" w:hAnsi="Arial" w:cs="Arial"/>
                <w:color w:val="000000" w:themeColor="text1"/>
                <w:sz w:val="24"/>
              </w:rPr>
              <w:t>hrung im Nachtdienst, Bewegung, Erholung und einen sinnvollen Umgang mit Licht und Koffein</w:t>
            </w:r>
          </w:p>
          <w:p w14:paraId="76441293" w14:textId="77777777" w:rsidR="00FC668C" w:rsidRPr="00FC668C" w:rsidRDefault="00FC668C" w:rsidP="00FC668C">
            <w:pPr>
              <w:pStyle w:val="Listenabsatz"/>
              <w:numPr>
                <w:ilvl w:val="0"/>
                <w:numId w:val="39"/>
              </w:numPr>
              <w:spacing w:before="120" w:after="120" w:line="276" w:lineRule="auto"/>
              <w:ind w:left="436"/>
              <w:rPr>
                <w:rFonts w:ascii="Arial" w:eastAsiaTheme="minorHAnsi" w:hAnsi="Arial" w:cs="Arial"/>
                <w:color w:val="000000" w:themeColor="text1"/>
                <w:sz w:val="24"/>
              </w:rPr>
            </w:pPr>
            <w:r w:rsidRPr="00FC668C">
              <w:rPr>
                <w:rFonts w:ascii="Arial" w:eastAsiaTheme="minorHAnsi" w:hAnsi="Arial" w:cs="Arial"/>
                <w:color w:val="000000" w:themeColor="text1"/>
                <w:sz w:val="24"/>
              </w:rPr>
              <w:t>Teilnahme an der arbeitsmedizinischen Vorsorge</w:t>
            </w:r>
          </w:p>
          <w:p w14:paraId="2C898C96" w14:textId="77777777" w:rsidR="00FC668C" w:rsidRPr="00FC668C" w:rsidRDefault="00FC668C" w:rsidP="00FC668C">
            <w:pPr>
              <w:pStyle w:val="Listenabsatz"/>
              <w:numPr>
                <w:ilvl w:val="0"/>
                <w:numId w:val="39"/>
              </w:numPr>
              <w:spacing w:before="120" w:after="120" w:line="276" w:lineRule="auto"/>
              <w:ind w:left="436"/>
              <w:rPr>
                <w:rFonts w:ascii="Arial" w:hAnsi="Arial" w:cs="Arial"/>
                <w:color w:val="000000" w:themeColor="text1"/>
                <w:sz w:val="24"/>
                <w:szCs w:val="22"/>
              </w:rPr>
            </w:pPr>
            <w:r w:rsidRPr="00FC668C">
              <w:rPr>
                <w:rFonts w:ascii="Arial" w:eastAsiaTheme="minorHAnsi" w:hAnsi="Arial" w:cs="Arial"/>
                <w:color w:val="000000" w:themeColor="text1"/>
                <w:sz w:val="24"/>
              </w:rPr>
              <w:t>Einbrin</w:t>
            </w:r>
            <w:r w:rsidRPr="00FC668C">
              <w:rPr>
                <w:rFonts w:ascii="Arial" w:hAnsi="Arial" w:cs="Arial"/>
                <w:color w:val="000000" w:themeColor="text1"/>
                <w:sz w:val="24"/>
                <w:szCs w:val="22"/>
              </w:rPr>
              <w:t>gen eigener Vorschläge</w:t>
            </w:r>
          </w:p>
        </w:tc>
      </w:tr>
    </w:tbl>
    <w:p w14:paraId="594FEDD7" w14:textId="77777777" w:rsidR="00FC668C" w:rsidRPr="00210C46" w:rsidRDefault="00FC668C" w:rsidP="00210C46">
      <w:pPr>
        <w:spacing w:before="120" w:after="120"/>
        <w:rPr>
          <w:rFonts w:ascii="Arial" w:eastAsiaTheme="minorHAnsi" w:hAnsi="Arial" w:cs="Arial"/>
          <w:color w:val="000000" w:themeColor="text1"/>
          <w:sz w:val="24"/>
        </w:rPr>
      </w:pPr>
    </w:p>
    <w:sectPr w:rsidR="00FC668C" w:rsidRPr="00210C46" w:rsidSect="000516BF">
      <w:headerReference w:type="default" r:id="rId9"/>
      <w:pgSz w:w="11906" w:h="16838" w:code="9"/>
      <w:pgMar w:top="-851"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1178D" w14:textId="77777777" w:rsidR="005C47F2" w:rsidRDefault="005C47F2" w:rsidP="002A5D13">
      <w:pPr>
        <w:spacing w:after="0" w:line="240" w:lineRule="auto"/>
      </w:pPr>
      <w:r>
        <w:separator/>
      </w:r>
    </w:p>
  </w:endnote>
  <w:endnote w:type="continuationSeparator" w:id="0">
    <w:p w14:paraId="0CCFB7B4" w14:textId="77777777" w:rsidR="005C47F2" w:rsidRDefault="005C47F2"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7CD5F" w14:textId="77777777" w:rsidR="005C47F2" w:rsidRDefault="005C47F2" w:rsidP="002A5D13">
      <w:pPr>
        <w:spacing w:after="0" w:line="240" w:lineRule="auto"/>
      </w:pPr>
      <w:r>
        <w:separator/>
      </w:r>
    </w:p>
  </w:footnote>
  <w:footnote w:type="continuationSeparator" w:id="0">
    <w:p w14:paraId="68B2C1E2" w14:textId="77777777" w:rsidR="005C47F2" w:rsidRDefault="005C47F2"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2721"/>
      <w:gridCol w:w="6349"/>
    </w:tblGrid>
    <w:tr w:rsidR="0050689E" w14:paraId="3D030942" w14:textId="77777777" w:rsidTr="005A461E">
      <w:tc>
        <w:tcPr>
          <w:tcW w:w="1500" w:type="pct"/>
          <w:tcBorders>
            <w:bottom w:val="single" w:sz="4" w:space="0" w:color="auto"/>
          </w:tcBorders>
          <w:shd w:val="clear" w:color="auto" w:fill="3480C6"/>
          <w:vAlign w:val="center"/>
        </w:tcPr>
        <w:p w14:paraId="66055B2A" w14:textId="3ED1D321" w:rsidR="007A7CA7" w:rsidRDefault="00ED3984" w:rsidP="006E0BDB">
          <w:pPr>
            <w:pStyle w:val="Kopfzeile"/>
            <w:jc w:val="center"/>
            <w:rPr>
              <w:b/>
              <w:color w:val="FFFFFF"/>
              <w:sz w:val="24"/>
            </w:rPr>
          </w:pPr>
          <w:r>
            <w:rPr>
              <w:b/>
              <w:color w:val="FFFFFF"/>
              <w:sz w:val="24"/>
            </w:rPr>
            <w:t xml:space="preserve">Ausgabe </w:t>
          </w:r>
          <w:r w:rsidR="0066437B">
            <w:rPr>
              <w:b/>
              <w:color w:val="FFFFFF"/>
              <w:sz w:val="24"/>
            </w:rPr>
            <w:t>11</w:t>
          </w:r>
          <w:r w:rsidR="007A7CA7" w:rsidRPr="007A7CA7">
            <w:rPr>
              <w:b/>
              <w:color w:val="FFFFFF"/>
              <w:sz w:val="24"/>
            </w:rPr>
            <w:t xml:space="preserve"> </w:t>
          </w:r>
          <w:r w:rsidR="003F1DD3">
            <w:rPr>
              <w:b/>
              <w:color w:val="FFFFFF"/>
              <w:sz w:val="24"/>
            </w:rPr>
            <w:t>–</w:t>
          </w:r>
          <w:r w:rsidR="007A7CA7" w:rsidRPr="007A7CA7">
            <w:rPr>
              <w:b/>
              <w:color w:val="FFFFFF"/>
              <w:sz w:val="24"/>
            </w:rPr>
            <w:t xml:space="preserve"> 20</w:t>
          </w:r>
          <w:r w:rsidR="00696A92">
            <w:rPr>
              <w:b/>
              <w:color w:val="FFFFFF"/>
              <w:sz w:val="24"/>
            </w:rPr>
            <w:t>2</w:t>
          </w:r>
          <w:r w:rsidR="007F1A2B">
            <w:rPr>
              <w:b/>
              <w:color w:val="FFFFFF"/>
              <w:sz w:val="24"/>
            </w:rPr>
            <w:t>6</w:t>
          </w:r>
        </w:p>
        <w:p w14:paraId="1541640F" w14:textId="1F439549" w:rsidR="003F1DD3" w:rsidRPr="007A7CA7" w:rsidRDefault="003F1DD3" w:rsidP="006E0BDB">
          <w:pPr>
            <w:pStyle w:val="Kopfzeile"/>
            <w:jc w:val="center"/>
            <w:rPr>
              <w:b/>
              <w:color w:val="FFFFFF"/>
            </w:rPr>
          </w:pPr>
          <w:r>
            <w:rPr>
              <w:b/>
              <w:color w:val="FFFFFF"/>
              <w:sz w:val="24"/>
            </w:rPr>
            <w:t>QM-Update</w:t>
          </w:r>
        </w:p>
      </w:tc>
      <w:tc>
        <w:tcPr>
          <w:tcW w:w="4000" w:type="pct"/>
          <w:tcBorders>
            <w:bottom w:val="single" w:sz="4" w:space="0" w:color="auto"/>
          </w:tcBorders>
          <w:vAlign w:val="bottom"/>
        </w:tcPr>
        <w:p w14:paraId="08A8564A" w14:textId="408FC76F" w:rsidR="007A7CA7" w:rsidRPr="007A7CA7" w:rsidRDefault="00696A92" w:rsidP="005A461E">
          <w:pPr>
            <w:pStyle w:val="Kopfzeile"/>
            <w:jc w:val="center"/>
            <w:rPr>
              <w:color w:val="000000"/>
              <w:sz w:val="24"/>
            </w:rPr>
          </w:pPr>
          <w:r w:rsidRPr="006E1553">
            <w:rPr>
              <w:rFonts w:ascii="Arial" w:hAnsi="Arial" w:cs="Arial"/>
              <w:b/>
              <w:noProof/>
              <w:color w:val="000000"/>
              <w:sz w:val="24"/>
              <w:lang w:eastAsia="de-DE"/>
            </w:rPr>
            <w:drawing>
              <wp:inline distT="0" distB="0" distL="0" distR="0" wp14:anchorId="02A1650F" wp14:editId="69000369">
                <wp:extent cx="2169160" cy="723265"/>
                <wp:effectExtent l="0" t="0" r="0" b="0"/>
                <wp:docPr id="106200498" name="Grafik 10620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9160" cy="723265"/>
                        </a:xfrm>
                        <a:prstGeom prst="rect">
                          <a:avLst/>
                        </a:prstGeom>
                        <a:noFill/>
                        <a:ln>
                          <a:noFill/>
                        </a:ln>
                      </pic:spPr>
                    </pic:pic>
                  </a:graphicData>
                </a:graphic>
              </wp:inline>
            </w:drawing>
          </w:r>
        </w:p>
      </w:tc>
    </w:tr>
  </w:tbl>
  <w:p w14:paraId="3887018B" w14:textId="77777777" w:rsidR="007A7CA7" w:rsidRDefault="007A7CA7">
    <w:pPr>
      <w:pStyle w:val="Kopfzeile"/>
    </w:pPr>
  </w:p>
  <w:p w14:paraId="2E52FFCC" w14:textId="77777777" w:rsidR="007A7CA7" w:rsidRDefault="007A7C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93F6BDC"/>
    <w:multiLevelType w:val="hybridMultilevel"/>
    <w:tmpl w:val="62A4B6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DBF0D52"/>
    <w:multiLevelType w:val="hybridMultilevel"/>
    <w:tmpl w:val="6E2636B4"/>
    <w:lvl w:ilvl="0" w:tplc="EFE6D28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E091908"/>
    <w:multiLevelType w:val="hybridMultilevel"/>
    <w:tmpl w:val="0422E806"/>
    <w:lvl w:ilvl="0" w:tplc="26A60FEA">
      <w:start w:val="1"/>
      <w:numFmt w:val="bullet"/>
      <w:lvlText w:val="-"/>
      <w:lvlJc w:val="left"/>
      <w:pPr>
        <w:ind w:left="720" w:hanging="360"/>
      </w:pPr>
      <w:rPr>
        <w:rFonts w:ascii="Arial" w:eastAsia="Cambria"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D75C3D"/>
    <w:multiLevelType w:val="hybridMultilevel"/>
    <w:tmpl w:val="81AC12B8"/>
    <w:lvl w:ilvl="0" w:tplc="89A8889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7245A2E"/>
    <w:multiLevelType w:val="hybridMultilevel"/>
    <w:tmpl w:val="CA386AD6"/>
    <w:lvl w:ilvl="0" w:tplc="EFE6D286">
      <w:numFmt w:val="bullet"/>
      <w:lvlText w:val="-"/>
      <w:lvlJc w:val="left"/>
      <w:pPr>
        <w:ind w:left="1440" w:hanging="360"/>
      </w:pPr>
      <w:rPr>
        <w:rFonts w:ascii="Arial" w:eastAsiaTheme="minorHAnsi"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27C327E8"/>
    <w:multiLevelType w:val="hybridMultilevel"/>
    <w:tmpl w:val="26584E90"/>
    <w:lvl w:ilvl="0" w:tplc="EFE6D28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CFF652C"/>
    <w:multiLevelType w:val="hybridMultilevel"/>
    <w:tmpl w:val="3A0064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D1D7D35"/>
    <w:multiLevelType w:val="hybridMultilevel"/>
    <w:tmpl w:val="37F629AA"/>
    <w:lvl w:ilvl="0" w:tplc="A2B45EC6">
      <w:start w:val="1"/>
      <w:numFmt w:val="decimal"/>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C676AD"/>
    <w:multiLevelType w:val="hybridMultilevel"/>
    <w:tmpl w:val="4BA087A0"/>
    <w:lvl w:ilvl="0" w:tplc="26A60FEA">
      <w:start w:val="1"/>
      <w:numFmt w:val="bullet"/>
      <w:lvlText w:val="-"/>
      <w:lvlJc w:val="left"/>
      <w:pPr>
        <w:ind w:left="720" w:hanging="360"/>
      </w:pPr>
      <w:rPr>
        <w:rFonts w:ascii="Arial" w:eastAsia="Cambria"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7742EBE"/>
    <w:multiLevelType w:val="hybridMultilevel"/>
    <w:tmpl w:val="BF523896"/>
    <w:lvl w:ilvl="0" w:tplc="EFE6D286">
      <w:numFmt w:val="bullet"/>
      <w:lvlText w:val="-"/>
      <w:lvlJc w:val="left"/>
      <w:pPr>
        <w:ind w:left="144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8654C25"/>
    <w:multiLevelType w:val="hybridMultilevel"/>
    <w:tmpl w:val="D402C8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957073B"/>
    <w:multiLevelType w:val="hybridMultilevel"/>
    <w:tmpl w:val="40B494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A64DE9"/>
    <w:multiLevelType w:val="hybridMultilevel"/>
    <w:tmpl w:val="3F507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2772175"/>
    <w:multiLevelType w:val="hybridMultilevel"/>
    <w:tmpl w:val="9AF2C4DA"/>
    <w:lvl w:ilvl="0" w:tplc="EFE6D28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93942B1"/>
    <w:multiLevelType w:val="hybridMultilevel"/>
    <w:tmpl w:val="3A0064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8"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9"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0"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1"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2"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3"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4"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2DC2052"/>
    <w:multiLevelType w:val="hybridMultilevel"/>
    <w:tmpl w:val="24B21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0C213B"/>
    <w:multiLevelType w:val="hybridMultilevel"/>
    <w:tmpl w:val="2FEA76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0604190">
    <w:abstractNumId w:val="21"/>
  </w:num>
  <w:num w:numId="2" w16cid:durableId="1456217558">
    <w:abstractNumId w:val="34"/>
  </w:num>
  <w:num w:numId="3" w16cid:durableId="1803574363">
    <w:abstractNumId w:val="37"/>
  </w:num>
  <w:num w:numId="4" w16cid:durableId="1661150236">
    <w:abstractNumId w:val="25"/>
  </w:num>
  <w:num w:numId="5" w16cid:durableId="840630696">
    <w:abstractNumId w:val="9"/>
  </w:num>
  <w:num w:numId="6" w16cid:durableId="1786457857">
    <w:abstractNumId w:val="15"/>
  </w:num>
  <w:num w:numId="7" w16cid:durableId="273442169">
    <w:abstractNumId w:val="27"/>
  </w:num>
  <w:num w:numId="8" w16cid:durableId="1239441314">
    <w:abstractNumId w:val="26"/>
  </w:num>
  <w:num w:numId="9" w16cid:durableId="1978216536">
    <w:abstractNumId w:val="17"/>
  </w:num>
  <w:num w:numId="10" w16cid:durableId="646931857">
    <w:abstractNumId w:val="5"/>
  </w:num>
  <w:num w:numId="11" w16cid:durableId="1137146208">
    <w:abstractNumId w:val="35"/>
  </w:num>
  <w:num w:numId="12" w16cid:durableId="1204052296">
    <w:abstractNumId w:val="29"/>
  </w:num>
  <w:num w:numId="13" w16cid:durableId="1106383001">
    <w:abstractNumId w:val="30"/>
  </w:num>
  <w:num w:numId="14" w16cid:durableId="793400410">
    <w:abstractNumId w:val="28"/>
  </w:num>
  <w:num w:numId="15" w16cid:durableId="170730696">
    <w:abstractNumId w:val="31"/>
  </w:num>
  <w:num w:numId="16" w16cid:durableId="1470124009">
    <w:abstractNumId w:val="32"/>
  </w:num>
  <w:num w:numId="17" w16cid:durableId="1016734673">
    <w:abstractNumId w:val="33"/>
  </w:num>
  <w:num w:numId="18" w16cid:durableId="1796101997">
    <w:abstractNumId w:val="4"/>
  </w:num>
  <w:num w:numId="19" w16cid:durableId="1924483445">
    <w:abstractNumId w:val="3"/>
  </w:num>
  <w:num w:numId="20" w16cid:durableId="2132623539">
    <w:abstractNumId w:val="2"/>
  </w:num>
  <w:num w:numId="21" w16cid:durableId="1909261134">
    <w:abstractNumId w:val="1"/>
  </w:num>
  <w:num w:numId="22" w16cid:durableId="339436213">
    <w:abstractNumId w:val="0"/>
  </w:num>
  <w:num w:numId="23" w16cid:durableId="545800413">
    <w:abstractNumId w:val="23"/>
  </w:num>
  <w:num w:numId="24" w16cid:durableId="1247105698">
    <w:abstractNumId w:val="7"/>
  </w:num>
  <w:num w:numId="25" w16cid:durableId="699934248">
    <w:abstractNumId w:val="12"/>
  </w:num>
  <w:num w:numId="26" w16cid:durableId="213661810">
    <w:abstractNumId w:val="20"/>
  </w:num>
  <w:num w:numId="27" w16cid:durableId="1745684160">
    <w:abstractNumId w:val="10"/>
  </w:num>
  <w:num w:numId="28" w16cid:durableId="238367108">
    <w:abstractNumId w:val="19"/>
  </w:num>
  <w:num w:numId="29" w16cid:durableId="1963148791">
    <w:abstractNumId w:val="14"/>
  </w:num>
  <w:num w:numId="30" w16cid:durableId="587273317">
    <w:abstractNumId w:val="13"/>
  </w:num>
  <w:num w:numId="31" w16cid:durableId="1574389040">
    <w:abstractNumId w:val="36"/>
  </w:num>
  <w:num w:numId="32" w16cid:durableId="1291326526">
    <w:abstractNumId w:val="24"/>
  </w:num>
  <w:num w:numId="33" w16cid:durableId="251135033">
    <w:abstractNumId w:val="11"/>
  </w:num>
  <w:num w:numId="34" w16cid:durableId="1855806159">
    <w:abstractNumId w:val="18"/>
  </w:num>
  <w:num w:numId="35" w16cid:durableId="605428297">
    <w:abstractNumId w:val="6"/>
  </w:num>
  <w:num w:numId="36" w16cid:durableId="1367213456">
    <w:abstractNumId w:val="16"/>
  </w:num>
  <w:num w:numId="37" w16cid:durableId="54205040">
    <w:abstractNumId w:val="38"/>
  </w:num>
  <w:num w:numId="38" w16cid:durableId="925267252">
    <w:abstractNumId w:val="8"/>
  </w:num>
  <w:num w:numId="39" w16cid:durableId="2038294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22C51"/>
    <w:rsid w:val="00032A0C"/>
    <w:rsid w:val="000516BF"/>
    <w:rsid w:val="0006571D"/>
    <w:rsid w:val="00070D06"/>
    <w:rsid w:val="000A7B82"/>
    <w:rsid w:val="000B50CC"/>
    <w:rsid w:val="000C03BB"/>
    <w:rsid w:val="000C4C6E"/>
    <w:rsid w:val="000C6A2D"/>
    <w:rsid w:val="000E0582"/>
    <w:rsid w:val="0015409B"/>
    <w:rsid w:val="001B429B"/>
    <w:rsid w:val="001F5B5E"/>
    <w:rsid w:val="00205D0C"/>
    <w:rsid w:val="00210C46"/>
    <w:rsid w:val="00247E00"/>
    <w:rsid w:val="0027096C"/>
    <w:rsid w:val="00271B97"/>
    <w:rsid w:val="002766CF"/>
    <w:rsid w:val="0028515F"/>
    <w:rsid w:val="002A5D13"/>
    <w:rsid w:val="002B029B"/>
    <w:rsid w:val="002B4419"/>
    <w:rsid w:val="002D45E4"/>
    <w:rsid w:val="002E4378"/>
    <w:rsid w:val="002F735B"/>
    <w:rsid w:val="002F7B4F"/>
    <w:rsid w:val="00314796"/>
    <w:rsid w:val="003676E3"/>
    <w:rsid w:val="00380EF0"/>
    <w:rsid w:val="003B1C00"/>
    <w:rsid w:val="003E3400"/>
    <w:rsid w:val="003E36DC"/>
    <w:rsid w:val="003F1DD3"/>
    <w:rsid w:val="00400714"/>
    <w:rsid w:val="00433F51"/>
    <w:rsid w:val="004556ED"/>
    <w:rsid w:val="004639C0"/>
    <w:rsid w:val="004955F6"/>
    <w:rsid w:val="00496A7E"/>
    <w:rsid w:val="004A47F9"/>
    <w:rsid w:val="004B6C90"/>
    <w:rsid w:val="004C2396"/>
    <w:rsid w:val="0050689E"/>
    <w:rsid w:val="00524D21"/>
    <w:rsid w:val="00551B88"/>
    <w:rsid w:val="00586C5B"/>
    <w:rsid w:val="00587D31"/>
    <w:rsid w:val="005A0C69"/>
    <w:rsid w:val="005A461E"/>
    <w:rsid w:val="005C47F2"/>
    <w:rsid w:val="005E1850"/>
    <w:rsid w:val="00606AB2"/>
    <w:rsid w:val="00614D0A"/>
    <w:rsid w:val="00653E72"/>
    <w:rsid w:val="00661981"/>
    <w:rsid w:val="0066437B"/>
    <w:rsid w:val="00696A92"/>
    <w:rsid w:val="006A5CFE"/>
    <w:rsid w:val="006C4046"/>
    <w:rsid w:val="006E0BDB"/>
    <w:rsid w:val="006E18EF"/>
    <w:rsid w:val="006E2625"/>
    <w:rsid w:val="00782522"/>
    <w:rsid w:val="007A7CA7"/>
    <w:rsid w:val="007B0290"/>
    <w:rsid w:val="007C0AE5"/>
    <w:rsid w:val="007E1A2E"/>
    <w:rsid w:val="007F1A2B"/>
    <w:rsid w:val="00811578"/>
    <w:rsid w:val="00831E73"/>
    <w:rsid w:val="00841FA8"/>
    <w:rsid w:val="00852BFB"/>
    <w:rsid w:val="008633AC"/>
    <w:rsid w:val="00887070"/>
    <w:rsid w:val="008B1F83"/>
    <w:rsid w:val="008D079C"/>
    <w:rsid w:val="008E62B1"/>
    <w:rsid w:val="009160C1"/>
    <w:rsid w:val="00937B0B"/>
    <w:rsid w:val="009433D9"/>
    <w:rsid w:val="00983536"/>
    <w:rsid w:val="009B721F"/>
    <w:rsid w:val="009F084F"/>
    <w:rsid w:val="00A06C64"/>
    <w:rsid w:val="00A20C9E"/>
    <w:rsid w:val="00A22F86"/>
    <w:rsid w:val="00AC136E"/>
    <w:rsid w:val="00B01FFE"/>
    <w:rsid w:val="00B42C1E"/>
    <w:rsid w:val="00B707AF"/>
    <w:rsid w:val="00B80DEE"/>
    <w:rsid w:val="00B87D52"/>
    <w:rsid w:val="00BD71E9"/>
    <w:rsid w:val="00C135D1"/>
    <w:rsid w:val="00C310AF"/>
    <w:rsid w:val="00C73E1A"/>
    <w:rsid w:val="00C94DCF"/>
    <w:rsid w:val="00CC38C8"/>
    <w:rsid w:val="00CE3BE0"/>
    <w:rsid w:val="00D86187"/>
    <w:rsid w:val="00DB146B"/>
    <w:rsid w:val="00DB32C7"/>
    <w:rsid w:val="00E113DA"/>
    <w:rsid w:val="00E2265E"/>
    <w:rsid w:val="00ED3984"/>
    <w:rsid w:val="00EF0BF1"/>
    <w:rsid w:val="00F20663"/>
    <w:rsid w:val="00F44690"/>
    <w:rsid w:val="00FA19D7"/>
    <w:rsid w:val="00FC278E"/>
    <w:rsid w:val="00FC66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05C08"/>
  <w15:chartTrackingRefBased/>
  <w15:docId w15:val="{80CA79C6-0582-41D0-B4DB-A10E5E20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table" w:styleId="Tabellenraster">
    <w:name w:val="Table Grid"/>
    <w:basedOn w:val="NormaleTabelle"/>
    <w:uiPriority w:val="39"/>
    <w:rsid w:val="006643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Standard"/>
    <w:rsid w:val="003F1DD3"/>
    <w:pPr>
      <w:spacing w:before="100" w:beforeAutospacing="1" w:after="100" w:afterAutospacing="1" w:line="240" w:lineRule="auto"/>
    </w:pPr>
    <w:rPr>
      <w:rFonts w:ascii="Times New Roman" w:eastAsia="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3E3039-4ABB-4CE4-91AF-66D1F0A55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1463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2013-12-09T12:30:00Z</cp:lastPrinted>
  <dcterms:created xsi:type="dcterms:W3CDTF">2026-10-09T10:28:00Z</dcterms:created>
  <dcterms:modified xsi:type="dcterms:W3CDTF">2026-10-09T10:28:00Z</dcterms:modified>
</cp:coreProperties>
</file>