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98F3" w14:textId="77777777" w:rsidR="002A5D13" w:rsidRDefault="007A7CA7" w:rsidP="007A7CA7">
      <w:pPr>
        <w:tabs>
          <w:tab w:val="left" w:pos="5280"/>
        </w:tabs>
        <w:rPr>
          <w:b/>
          <w:noProof/>
          <w:lang w:eastAsia="de-DE"/>
        </w:rPr>
      </w:pPr>
      <w:r>
        <w:rPr>
          <w:b/>
          <w:noProof/>
          <w:lang w:eastAsia="de-DE"/>
        </w:rPr>
        <w:tab/>
      </w:r>
    </w:p>
    <w:p w14:paraId="612498F4" w14:textId="77777777" w:rsidR="00C73E1A" w:rsidRDefault="007A7CA7" w:rsidP="005E1850">
      <w:pPr>
        <w:tabs>
          <w:tab w:val="left" w:pos="1365"/>
          <w:tab w:val="left" w:pos="2430"/>
          <w:tab w:val="left" w:pos="4185"/>
          <w:tab w:val="left" w:pos="6900"/>
        </w:tabs>
      </w:pPr>
      <w:r>
        <w:tab/>
      </w:r>
      <w:r w:rsidR="005E1850">
        <w:tab/>
      </w:r>
      <w:r>
        <w:tab/>
      </w:r>
      <w:r w:rsidR="00B707AF">
        <w:tab/>
      </w:r>
    </w:p>
    <w:p w14:paraId="365DE2AF" w14:textId="5929E46C" w:rsidR="0005538D" w:rsidRPr="0005538D" w:rsidRDefault="006E18EF" w:rsidP="0005538D">
      <w:pPr>
        <w:tabs>
          <w:tab w:val="left" w:pos="2430"/>
        </w:tabs>
      </w:pPr>
      <w:r>
        <w:tab/>
      </w:r>
    </w:p>
    <w:tbl>
      <w:tblPr>
        <w:tblW w:w="10787" w:type="dxa"/>
        <w:jc w:val="center"/>
        <w:tblLayout w:type="fixed"/>
        <w:tblCellMar>
          <w:left w:w="70" w:type="dxa"/>
          <w:right w:w="70" w:type="dxa"/>
        </w:tblCellMar>
        <w:tblLook w:val="04A0" w:firstRow="1" w:lastRow="0" w:firstColumn="1" w:lastColumn="0" w:noHBand="0" w:noVBand="1"/>
      </w:tblPr>
      <w:tblGrid>
        <w:gridCol w:w="2075"/>
        <w:gridCol w:w="5059"/>
        <w:gridCol w:w="3653"/>
      </w:tblGrid>
      <w:tr w:rsidR="0005538D" w:rsidRPr="0005538D" w14:paraId="36CFCD79" w14:textId="77777777" w:rsidTr="0005538D">
        <w:trPr>
          <w:cantSplit/>
          <w:trHeight w:val="117"/>
          <w:jc w:val="center"/>
        </w:trPr>
        <w:tc>
          <w:tcPr>
            <w:tcW w:w="10787" w:type="dxa"/>
            <w:gridSpan w:val="3"/>
            <w:tcBorders>
              <w:top w:val="single" w:sz="4" w:space="0" w:color="000000"/>
              <w:left w:val="single" w:sz="4" w:space="0" w:color="000000"/>
              <w:bottom w:val="single" w:sz="4" w:space="0" w:color="000000"/>
              <w:right w:val="single" w:sz="4" w:space="0" w:color="000000"/>
            </w:tcBorders>
            <w:shd w:val="clear" w:color="auto" w:fill="3B98B9"/>
            <w:hideMark/>
          </w:tcPr>
          <w:p w14:paraId="2F67A91F" w14:textId="77777777" w:rsidR="0005538D" w:rsidRPr="0005538D" w:rsidRDefault="0005538D" w:rsidP="0005538D">
            <w:pPr>
              <w:spacing w:before="120" w:after="120"/>
              <w:rPr>
                <w:rFonts w:ascii="Arial" w:hAnsi="Arial" w:cs="Arial"/>
                <w:b/>
                <w:sz w:val="28"/>
                <w:szCs w:val="28"/>
              </w:rPr>
            </w:pPr>
            <w:r w:rsidRPr="0005538D">
              <w:rPr>
                <w:rFonts w:ascii="Arial" w:hAnsi="Arial" w:cs="Arial"/>
                <w:b/>
                <w:sz w:val="28"/>
                <w:szCs w:val="28"/>
              </w:rPr>
              <w:t>Übersicht: Vorgaben des ArbZG und Dokumentationspflichten im Überblick</w:t>
            </w:r>
          </w:p>
        </w:tc>
      </w:tr>
      <w:tr w:rsidR="0005538D" w:rsidRPr="0005538D" w14:paraId="3355ECA3" w14:textId="77777777" w:rsidTr="0005538D">
        <w:trPr>
          <w:trHeight w:val="1103"/>
          <w:jc w:val="center"/>
        </w:trPr>
        <w:tc>
          <w:tcPr>
            <w:tcW w:w="2075" w:type="dxa"/>
            <w:tcBorders>
              <w:top w:val="single" w:sz="4" w:space="0" w:color="000000"/>
              <w:left w:val="single" w:sz="4" w:space="0" w:color="000000"/>
              <w:bottom w:val="single" w:sz="4" w:space="0" w:color="000000"/>
              <w:right w:val="nil"/>
            </w:tcBorders>
            <w:shd w:val="clear" w:color="auto" w:fill="C6BEE0"/>
            <w:hideMark/>
          </w:tcPr>
          <w:p w14:paraId="5D0A722C" w14:textId="77777777" w:rsidR="0005538D" w:rsidRPr="0005538D" w:rsidRDefault="0005538D" w:rsidP="0005538D">
            <w:pPr>
              <w:pStyle w:val="Listenabsatz"/>
              <w:spacing w:before="120" w:after="120" w:line="276" w:lineRule="auto"/>
              <w:ind w:left="0"/>
              <w:rPr>
                <w:rFonts w:ascii="Arial" w:hAnsi="Arial" w:cs="Arial"/>
                <w:b/>
                <w:bCs w:val="0"/>
                <w:sz w:val="24"/>
              </w:rPr>
            </w:pPr>
            <w:r w:rsidRPr="0005538D">
              <w:rPr>
                <w:rFonts w:ascii="Arial" w:hAnsi="Arial" w:cs="Arial"/>
                <w:b/>
                <w:bCs w:val="0"/>
                <w:sz w:val="24"/>
              </w:rPr>
              <w:t>Gesetzliche Vorgaben und Regelungen</w:t>
            </w:r>
          </w:p>
        </w:tc>
        <w:tc>
          <w:tcPr>
            <w:tcW w:w="5059" w:type="dxa"/>
            <w:tcBorders>
              <w:top w:val="single" w:sz="4" w:space="0" w:color="000000"/>
              <w:left w:val="single" w:sz="4" w:space="0" w:color="000000"/>
              <w:bottom w:val="single" w:sz="4" w:space="0" w:color="000000"/>
              <w:right w:val="single" w:sz="4" w:space="0" w:color="000000"/>
            </w:tcBorders>
            <w:shd w:val="clear" w:color="auto" w:fill="C6BEE0"/>
            <w:hideMark/>
          </w:tcPr>
          <w:p w14:paraId="74CAEC4E" w14:textId="77777777" w:rsidR="0005538D" w:rsidRPr="0005538D" w:rsidRDefault="0005538D" w:rsidP="0005538D">
            <w:pPr>
              <w:pStyle w:val="Listenabsatz"/>
              <w:spacing w:before="120" w:after="120" w:line="276" w:lineRule="auto"/>
              <w:ind w:left="0"/>
              <w:rPr>
                <w:rFonts w:ascii="Arial" w:hAnsi="Arial" w:cs="Arial"/>
                <w:b/>
                <w:bCs w:val="0"/>
                <w:sz w:val="24"/>
              </w:rPr>
            </w:pPr>
            <w:r w:rsidRPr="0005538D">
              <w:rPr>
                <w:rFonts w:ascii="Arial" w:hAnsi="Arial" w:cs="Arial"/>
                <w:b/>
                <w:bCs w:val="0"/>
                <w:sz w:val="24"/>
              </w:rPr>
              <w:t>Darauf kommt es an</w:t>
            </w:r>
          </w:p>
        </w:tc>
        <w:tc>
          <w:tcPr>
            <w:tcW w:w="3653" w:type="dxa"/>
            <w:tcBorders>
              <w:top w:val="single" w:sz="4" w:space="0" w:color="000000"/>
              <w:left w:val="single" w:sz="4" w:space="0" w:color="000000"/>
              <w:bottom w:val="single" w:sz="4" w:space="0" w:color="000000"/>
              <w:right w:val="single" w:sz="4" w:space="0" w:color="000000"/>
            </w:tcBorders>
            <w:shd w:val="clear" w:color="auto" w:fill="C6BEE0"/>
          </w:tcPr>
          <w:p w14:paraId="27D862E0" w14:textId="77777777" w:rsidR="0005538D" w:rsidRPr="0005538D" w:rsidRDefault="0005538D" w:rsidP="0005538D">
            <w:pPr>
              <w:pStyle w:val="Listenabsatz"/>
              <w:spacing w:before="120" w:after="120" w:line="276" w:lineRule="auto"/>
              <w:ind w:left="0"/>
              <w:rPr>
                <w:rFonts w:ascii="Arial" w:hAnsi="Arial" w:cs="Arial"/>
                <w:b/>
                <w:bCs w:val="0"/>
                <w:sz w:val="24"/>
              </w:rPr>
            </w:pPr>
            <w:r w:rsidRPr="0005538D">
              <w:rPr>
                <w:rFonts w:ascii="Arial" w:hAnsi="Arial" w:cs="Arial"/>
                <w:b/>
                <w:bCs w:val="0"/>
                <w:sz w:val="24"/>
              </w:rPr>
              <w:t xml:space="preserve">So dokumentieren Sie richtig </w:t>
            </w:r>
          </w:p>
        </w:tc>
      </w:tr>
      <w:tr w:rsidR="0005538D" w:rsidRPr="0005538D" w14:paraId="28E40464" w14:textId="77777777" w:rsidTr="0005538D">
        <w:trPr>
          <w:trHeight w:val="1986"/>
          <w:jc w:val="center"/>
        </w:trPr>
        <w:tc>
          <w:tcPr>
            <w:tcW w:w="2075" w:type="dxa"/>
            <w:tcBorders>
              <w:top w:val="nil"/>
              <w:left w:val="single" w:sz="4" w:space="0" w:color="000000"/>
              <w:bottom w:val="single" w:sz="4" w:space="0" w:color="000000"/>
              <w:right w:val="nil"/>
            </w:tcBorders>
          </w:tcPr>
          <w:p w14:paraId="02640B13"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 xml:space="preserve">Tägliche </w:t>
            </w:r>
          </w:p>
          <w:p w14:paraId="530993EB"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Höchstarbeitszeit, § 3 ArbZG</w:t>
            </w:r>
          </w:p>
        </w:tc>
        <w:tc>
          <w:tcPr>
            <w:tcW w:w="5059" w:type="dxa"/>
            <w:tcBorders>
              <w:top w:val="nil"/>
              <w:left w:val="single" w:sz="4" w:space="0" w:color="000000"/>
              <w:bottom w:val="single" w:sz="4" w:space="0" w:color="000000"/>
              <w:right w:val="single" w:sz="4" w:space="0" w:color="000000"/>
            </w:tcBorders>
          </w:tcPr>
          <w:p w14:paraId="317C8B2C"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Die tägliche Höchstarbeitszeit beträgt grundsätzlich 8 Stunden. Eine Verlängerung auf 10 Stunden ist möglich, wenn ein Ausgleich innerhalb von 6 Monaten bzw. 24 Wochen erfolgt, sodass die tägliche Höchstarbeitszeit im Durchschnitt nicht überschritten wird.</w:t>
            </w:r>
          </w:p>
        </w:tc>
        <w:tc>
          <w:tcPr>
            <w:tcW w:w="3653" w:type="dxa"/>
            <w:vMerge w:val="restart"/>
            <w:tcBorders>
              <w:top w:val="nil"/>
              <w:left w:val="single" w:sz="4" w:space="0" w:color="000000"/>
              <w:right w:val="single" w:sz="4" w:space="0" w:color="000000"/>
            </w:tcBorders>
          </w:tcPr>
          <w:p w14:paraId="11F3D793"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 xml:space="preserve">Dokumentieren Sie die tägliche Arbeitszeit der Mitarbeiter, die Überschreitung der täglichen und wöchentliche Arbeitszeit sowie Ausgleichsstunden, sodass Sie bei Kontrollen den Nachweis führen können, dass § 3 ArbZG eingehalten wurde. </w:t>
            </w:r>
          </w:p>
          <w:p w14:paraId="52A1EBE8"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Achten Sie außerdem darauf, dass die 10 Stunden nicht überschritten werden, wobei die Pausenzeiten abzuziehen sind.</w:t>
            </w:r>
          </w:p>
        </w:tc>
      </w:tr>
      <w:tr w:rsidR="0005538D" w:rsidRPr="0005538D" w14:paraId="5B9F08CC" w14:textId="77777777" w:rsidTr="0005538D">
        <w:trPr>
          <w:trHeight w:val="1457"/>
          <w:jc w:val="center"/>
        </w:trPr>
        <w:tc>
          <w:tcPr>
            <w:tcW w:w="2075" w:type="dxa"/>
            <w:tcBorders>
              <w:top w:val="nil"/>
              <w:left w:val="single" w:sz="4" w:space="0" w:color="000000"/>
              <w:bottom w:val="single" w:sz="4" w:space="0" w:color="000000"/>
              <w:right w:val="nil"/>
            </w:tcBorders>
          </w:tcPr>
          <w:p w14:paraId="4E893363"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Wöchentliche Höchstarbeitszeit, § 3 ArbZG</w:t>
            </w:r>
          </w:p>
        </w:tc>
        <w:tc>
          <w:tcPr>
            <w:tcW w:w="5059" w:type="dxa"/>
            <w:tcBorders>
              <w:top w:val="nil"/>
              <w:left w:val="single" w:sz="4" w:space="0" w:color="000000"/>
              <w:bottom w:val="single" w:sz="4" w:space="0" w:color="000000"/>
              <w:right w:val="single" w:sz="4" w:space="0" w:color="000000"/>
            </w:tcBorders>
          </w:tcPr>
          <w:p w14:paraId="00854C9D"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Die wöchentliche Höchstarbeitszeit beträgt 48 Stunden. Eine Erhöhung auf maximal 60 Stunden ist möglich, wenn innerhalb der oben genannten Fristen ein Aus gleich erfolgt.</w:t>
            </w:r>
          </w:p>
        </w:tc>
        <w:tc>
          <w:tcPr>
            <w:tcW w:w="3653" w:type="dxa"/>
            <w:vMerge/>
            <w:tcBorders>
              <w:left w:val="single" w:sz="4" w:space="0" w:color="000000"/>
              <w:bottom w:val="single" w:sz="4" w:space="0" w:color="000000"/>
              <w:right w:val="single" w:sz="4" w:space="0" w:color="000000"/>
            </w:tcBorders>
          </w:tcPr>
          <w:p w14:paraId="14D8C8E0" w14:textId="77777777" w:rsidR="0005538D" w:rsidRPr="0005538D" w:rsidRDefault="0005538D" w:rsidP="0005538D">
            <w:pPr>
              <w:pStyle w:val="Listenabsatz"/>
              <w:spacing w:before="120" w:after="120" w:line="276" w:lineRule="auto"/>
              <w:ind w:left="0"/>
              <w:rPr>
                <w:rFonts w:ascii="Arial" w:hAnsi="Arial" w:cs="Arial"/>
                <w:sz w:val="24"/>
              </w:rPr>
            </w:pPr>
          </w:p>
        </w:tc>
      </w:tr>
      <w:tr w:rsidR="0005538D" w:rsidRPr="0005538D" w14:paraId="4C816D73" w14:textId="77777777" w:rsidTr="0005538D">
        <w:trPr>
          <w:trHeight w:val="3247"/>
          <w:jc w:val="center"/>
        </w:trPr>
        <w:tc>
          <w:tcPr>
            <w:tcW w:w="2075" w:type="dxa"/>
            <w:tcBorders>
              <w:top w:val="nil"/>
              <w:left w:val="single" w:sz="4" w:space="0" w:color="000000"/>
              <w:bottom w:val="single" w:sz="4" w:space="0" w:color="000000"/>
              <w:right w:val="nil"/>
            </w:tcBorders>
          </w:tcPr>
          <w:p w14:paraId="7F217420"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Nachtarbeit, §§ 2, 6 ArbZG</w:t>
            </w:r>
          </w:p>
        </w:tc>
        <w:tc>
          <w:tcPr>
            <w:tcW w:w="5059" w:type="dxa"/>
            <w:tcBorders>
              <w:top w:val="nil"/>
              <w:left w:val="single" w:sz="4" w:space="0" w:color="000000"/>
              <w:bottom w:val="single" w:sz="4" w:space="0" w:color="000000"/>
              <w:right w:val="single" w:sz="4" w:space="0" w:color="000000"/>
            </w:tcBorders>
          </w:tcPr>
          <w:p w14:paraId="70643B1E" w14:textId="73FBF90E"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Nachtarbeit liegt vor, wenn Mitarbeiter mehr als 2 Stunden im Zeitraum von 23–6 Uhr arbeiten. Nachtzuschläge und ein entsprechender Freizeitausgleich sind gesetzlich vorgeschrieben.</w:t>
            </w:r>
          </w:p>
        </w:tc>
        <w:tc>
          <w:tcPr>
            <w:tcW w:w="3653" w:type="dxa"/>
            <w:tcBorders>
              <w:top w:val="nil"/>
              <w:left w:val="single" w:sz="4" w:space="0" w:color="000000"/>
              <w:bottom w:val="single" w:sz="4" w:space="0" w:color="000000"/>
              <w:right w:val="single" w:sz="4" w:space="0" w:color="000000"/>
            </w:tcBorders>
          </w:tcPr>
          <w:p w14:paraId="503CEDF3"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Halten Sie die Nachtarbeitszeit der Mitarbeiter sowie die von Ihnen gewährten Ausgleichstage fest, soweit Sie keine Nachtzuschläge zahlen. Dokumentieren Sie außerdem, dass Sie den Mitarbeitern regelmäßig arbeitsmedizinische Untersuchungen nach § 6 Abs. 3 ArbZG anbieten.</w:t>
            </w:r>
          </w:p>
        </w:tc>
      </w:tr>
      <w:tr w:rsidR="0005538D" w:rsidRPr="0005538D" w14:paraId="4A1FCCA1" w14:textId="77777777" w:rsidTr="0005538D">
        <w:trPr>
          <w:trHeight w:val="960"/>
          <w:jc w:val="center"/>
        </w:trPr>
        <w:tc>
          <w:tcPr>
            <w:tcW w:w="2075" w:type="dxa"/>
            <w:tcBorders>
              <w:top w:val="nil"/>
              <w:left w:val="single" w:sz="4" w:space="0" w:color="000000"/>
              <w:bottom w:val="single" w:sz="4" w:space="0" w:color="auto"/>
              <w:right w:val="nil"/>
            </w:tcBorders>
          </w:tcPr>
          <w:p w14:paraId="1C50BD61"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Ruhezeiten, § 5 ArbZG</w:t>
            </w:r>
          </w:p>
        </w:tc>
        <w:tc>
          <w:tcPr>
            <w:tcW w:w="5059" w:type="dxa"/>
            <w:tcBorders>
              <w:top w:val="nil"/>
              <w:left w:val="single" w:sz="4" w:space="0" w:color="000000"/>
              <w:bottom w:val="single" w:sz="4" w:space="0" w:color="auto"/>
              <w:right w:val="single" w:sz="4" w:space="0" w:color="000000"/>
            </w:tcBorders>
          </w:tcPr>
          <w:p w14:paraId="607DFB97"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Nach § 5 Abs. 2 ArbZG müssen Mitarbeiter zwischen 2 Arbeitseinsätzen eine ununterbrochene Ruhezeit von mindestens 10 Stunden haben. Wird die Ruhezeit auf 10 Stunden verkürzt, verlängert sie sich einmal im Monat auf 12 Stunden. Rufbereitschaft (inaktiv) gilt als Ruhezeit. Wird die Rufbereitschaft durch einen Einsatz unterbrochen, haben die Mitarbeiter Anspruch auf Ruhezeit. Diese muss mindestens 5,5 Stunden betragen.</w:t>
            </w:r>
          </w:p>
        </w:tc>
        <w:tc>
          <w:tcPr>
            <w:tcW w:w="3653" w:type="dxa"/>
            <w:tcBorders>
              <w:top w:val="nil"/>
              <w:left w:val="single" w:sz="4" w:space="0" w:color="000000"/>
              <w:bottom w:val="single" w:sz="4" w:space="0" w:color="auto"/>
              <w:right w:val="single" w:sz="4" w:space="0" w:color="000000"/>
            </w:tcBorders>
          </w:tcPr>
          <w:p w14:paraId="5C29C963"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Achten Sie darauf; dass die Arbeitszeiten und die Rufbereitschaften dokumentiert werden, sodass sich hieraus ablesen lässt, dass die Ruhezeiten, Ausgleichsruhezeiten und Rufbereitschaften, die von Einsätzen unterbrochen werden, eingehalten wurden.</w:t>
            </w:r>
          </w:p>
        </w:tc>
      </w:tr>
      <w:tr w:rsidR="0005538D" w:rsidRPr="0005538D" w14:paraId="72815437" w14:textId="77777777" w:rsidTr="0005538D">
        <w:trPr>
          <w:trHeight w:val="133"/>
          <w:jc w:val="center"/>
        </w:trPr>
        <w:tc>
          <w:tcPr>
            <w:tcW w:w="2075" w:type="dxa"/>
            <w:tcBorders>
              <w:top w:val="single" w:sz="4" w:space="0" w:color="auto"/>
              <w:left w:val="single" w:sz="4" w:space="0" w:color="auto"/>
              <w:bottom w:val="single" w:sz="4" w:space="0" w:color="auto"/>
              <w:right w:val="single" w:sz="4" w:space="0" w:color="auto"/>
            </w:tcBorders>
          </w:tcPr>
          <w:p w14:paraId="40FA2B62"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lastRenderedPageBreak/>
              <w:t>Sonn- und Feiertagsarbeit, §§ 9, 10, 11 ArbZG</w:t>
            </w:r>
          </w:p>
        </w:tc>
        <w:tc>
          <w:tcPr>
            <w:tcW w:w="5059" w:type="dxa"/>
            <w:tcBorders>
              <w:top w:val="single" w:sz="4" w:space="0" w:color="auto"/>
              <w:left w:val="single" w:sz="4" w:space="0" w:color="auto"/>
              <w:bottom w:val="single" w:sz="4" w:space="0" w:color="auto"/>
              <w:right w:val="single" w:sz="4" w:space="0" w:color="auto"/>
            </w:tcBorders>
          </w:tcPr>
          <w:p w14:paraId="585F21D9"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In Pflegeeinrichtungen und bei ambulanten Pflegediensten gilt das Verbot der Sonn- und Feiertagsarbeit nicht. Mitarbeiter müssen mindestens 15 freie Sonntage im Jahr haben. Arbeitet ein Mitarbeiter sonntags, hat er Anspruch auf einen freien Ersatztag innerhalb von 2 Wochen, bei Feiertagsarbeit innerhalb von 8 Wochen. Die Ersatzruhetage müssen im Anschluss an eine Ruhezeit gewährt werden. Die Ersatzruhetage können auch vor dem Beschäftigungstag liegen.</w:t>
            </w:r>
          </w:p>
        </w:tc>
        <w:tc>
          <w:tcPr>
            <w:tcW w:w="3653" w:type="dxa"/>
            <w:tcBorders>
              <w:top w:val="single" w:sz="4" w:space="0" w:color="auto"/>
              <w:left w:val="single" w:sz="4" w:space="0" w:color="auto"/>
              <w:bottom w:val="single" w:sz="4" w:space="0" w:color="auto"/>
              <w:right w:val="single" w:sz="4" w:space="0" w:color="auto"/>
            </w:tcBorders>
          </w:tcPr>
          <w:p w14:paraId="54A2541A"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Dokumentieren Sie die Arbeitszeiten der Mitarbeiter an Sonn- und Feiertagen so wie die freien Ersatztage.</w:t>
            </w:r>
          </w:p>
        </w:tc>
      </w:tr>
      <w:tr w:rsidR="0005538D" w:rsidRPr="0005538D" w14:paraId="5D8CBDB0" w14:textId="77777777" w:rsidTr="0005538D">
        <w:trPr>
          <w:trHeight w:val="2894"/>
          <w:jc w:val="center"/>
        </w:trPr>
        <w:tc>
          <w:tcPr>
            <w:tcW w:w="2075" w:type="dxa"/>
            <w:tcBorders>
              <w:top w:val="single" w:sz="4" w:space="0" w:color="auto"/>
              <w:left w:val="single" w:sz="4" w:space="0" w:color="000000"/>
              <w:bottom w:val="single" w:sz="4" w:space="0" w:color="000000"/>
              <w:right w:val="nil"/>
            </w:tcBorders>
          </w:tcPr>
          <w:p w14:paraId="6688BBF6"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Pausen, § 4 ArbZG</w:t>
            </w:r>
          </w:p>
        </w:tc>
        <w:tc>
          <w:tcPr>
            <w:tcW w:w="5059" w:type="dxa"/>
            <w:tcBorders>
              <w:top w:val="single" w:sz="4" w:space="0" w:color="auto"/>
              <w:left w:val="single" w:sz="4" w:space="0" w:color="000000"/>
              <w:bottom w:val="single" w:sz="4" w:space="0" w:color="000000"/>
              <w:right w:val="single" w:sz="4" w:space="0" w:color="000000"/>
            </w:tcBorders>
          </w:tcPr>
          <w:p w14:paraId="269FC17B"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Nach spätestens 6 Stunden stehen Mitarbeitern 30 Minuten, bei einer Arbeitszeit von 9 Stunden 45 Minuten Pause zu. Die Pausen können in Abschnitte von 15 Minuten aufgeteilt werden. Die Pause muss die Arbeitszeit unterbrechen und zählt nicht zur täglichen Arbeitszeit. In Notfällen können Sie anordnen, dass die Pausen durchgearbeitet oder verkürzt werden.</w:t>
            </w:r>
          </w:p>
        </w:tc>
        <w:tc>
          <w:tcPr>
            <w:tcW w:w="3653" w:type="dxa"/>
            <w:tcBorders>
              <w:top w:val="single" w:sz="4" w:space="0" w:color="auto"/>
              <w:left w:val="single" w:sz="4" w:space="0" w:color="000000"/>
              <w:bottom w:val="single" w:sz="4" w:space="0" w:color="000000"/>
              <w:right w:val="single" w:sz="4" w:space="0" w:color="000000"/>
            </w:tcBorders>
          </w:tcPr>
          <w:p w14:paraId="59CE61DA" w14:textId="77777777" w:rsidR="0005538D" w:rsidRPr="0005538D" w:rsidRDefault="0005538D" w:rsidP="0005538D">
            <w:pPr>
              <w:pStyle w:val="Listenabsatz"/>
              <w:spacing w:before="120" w:after="120" w:line="276" w:lineRule="auto"/>
              <w:ind w:left="0"/>
              <w:rPr>
                <w:rFonts w:ascii="Arial" w:hAnsi="Arial" w:cs="Arial"/>
                <w:sz w:val="24"/>
              </w:rPr>
            </w:pPr>
            <w:r w:rsidRPr="0005538D">
              <w:rPr>
                <w:rFonts w:ascii="Arial" w:hAnsi="Arial" w:cs="Arial"/>
                <w:sz w:val="24"/>
              </w:rPr>
              <w:t>Legen Sie die Pausen im Dienstplan fest. Bei einer elektronischen Zeiterfassung sollten Sie die Mitarbeiter anhalten, sich für die Pausen ein- und auszuloggen. Von einem automatischen Abziehen der Pausen ist abzuraten.</w:t>
            </w:r>
          </w:p>
        </w:tc>
      </w:tr>
    </w:tbl>
    <w:p w14:paraId="6382E3BD" w14:textId="77777777" w:rsidR="0005538D" w:rsidRPr="006C7303" w:rsidRDefault="0005538D" w:rsidP="006C7303">
      <w:pPr>
        <w:pStyle w:val="Listenabsatz"/>
        <w:spacing w:before="120" w:after="120" w:line="276" w:lineRule="auto"/>
        <w:ind w:left="0"/>
        <w:rPr>
          <w:rFonts w:ascii="Arial" w:hAnsi="Arial" w:cs="Arial"/>
          <w:sz w:val="24"/>
        </w:rPr>
      </w:pPr>
    </w:p>
    <w:sectPr w:rsidR="0005538D" w:rsidRPr="006C7303" w:rsidSect="0005538D">
      <w:headerReference w:type="default" r:id="rId9"/>
      <w:pgSz w:w="11906" w:h="16838" w:code="9"/>
      <w:pgMar w:top="-993"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FEB5" w14:textId="77777777" w:rsidR="00094B10" w:rsidRDefault="00094B10" w:rsidP="002A5D13">
      <w:pPr>
        <w:spacing w:after="0" w:line="240" w:lineRule="auto"/>
      </w:pPr>
      <w:r>
        <w:separator/>
      </w:r>
    </w:p>
  </w:endnote>
  <w:endnote w:type="continuationSeparator" w:id="0">
    <w:p w14:paraId="1BFC99D7" w14:textId="77777777" w:rsidR="00094B10" w:rsidRDefault="00094B10"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86AC2" w14:textId="77777777" w:rsidR="00094B10" w:rsidRDefault="00094B10" w:rsidP="002A5D13">
      <w:pPr>
        <w:spacing w:after="0" w:line="240" w:lineRule="auto"/>
      </w:pPr>
      <w:r>
        <w:separator/>
      </w:r>
    </w:p>
  </w:footnote>
  <w:footnote w:type="continuationSeparator" w:id="0">
    <w:p w14:paraId="0E362009" w14:textId="77777777" w:rsidR="00094B10" w:rsidRDefault="00094B10"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5" w:type="pct"/>
      <w:jc w:val="center"/>
      <w:tblCellMar>
        <w:top w:w="72" w:type="dxa"/>
        <w:left w:w="115" w:type="dxa"/>
        <w:bottom w:w="72" w:type="dxa"/>
        <w:right w:w="115" w:type="dxa"/>
      </w:tblCellMar>
      <w:tblLook w:val="04A0" w:firstRow="1" w:lastRow="0" w:firstColumn="1" w:lastColumn="0" w:noHBand="0" w:noVBand="1"/>
    </w:tblPr>
    <w:tblGrid>
      <w:gridCol w:w="2524"/>
      <w:gridCol w:w="6748"/>
    </w:tblGrid>
    <w:tr w:rsidR="00067069" w14:paraId="61249913" w14:textId="77777777" w:rsidTr="00BF7CA7">
      <w:trPr>
        <w:trHeight w:val="1221"/>
        <w:jc w:val="center"/>
      </w:trPr>
      <w:tc>
        <w:tcPr>
          <w:tcW w:w="1361" w:type="pct"/>
          <w:tcBorders>
            <w:bottom w:val="single" w:sz="4" w:space="0" w:color="auto"/>
          </w:tcBorders>
          <w:shd w:val="clear" w:color="auto" w:fill="5E4B9A"/>
          <w:vAlign w:val="center"/>
        </w:tcPr>
        <w:p w14:paraId="61249911" w14:textId="191B9534" w:rsidR="00067069" w:rsidRPr="006C7303" w:rsidRDefault="00067069" w:rsidP="006C7303">
          <w:pPr>
            <w:pStyle w:val="Kopfzeile"/>
            <w:jc w:val="center"/>
            <w:rPr>
              <w:b/>
              <w:color w:val="FFFFFF"/>
              <w:sz w:val="24"/>
            </w:rPr>
          </w:pPr>
          <w:r>
            <w:rPr>
              <w:b/>
              <w:color w:val="FFFFFF"/>
              <w:sz w:val="24"/>
            </w:rPr>
            <w:t xml:space="preserve">Ausgabe </w:t>
          </w:r>
          <w:r w:rsidR="006C7303">
            <w:rPr>
              <w:b/>
              <w:color w:val="FFFFFF"/>
              <w:sz w:val="24"/>
            </w:rPr>
            <w:t>11</w:t>
          </w:r>
          <w:r>
            <w:rPr>
              <w:b/>
              <w:color w:val="FFFFFF"/>
              <w:sz w:val="24"/>
            </w:rPr>
            <w:t xml:space="preserve"> </w:t>
          </w:r>
          <w:r w:rsidR="00AD343D">
            <w:rPr>
              <w:b/>
              <w:color w:val="FFFFFF"/>
              <w:sz w:val="24"/>
            </w:rPr>
            <w:t>–</w:t>
          </w:r>
          <w:r>
            <w:rPr>
              <w:b/>
              <w:color w:val="FFFFFF"/>
              <w:sz w:val="24"/>
            </w:rPr>
            <w:t xml:space="preserve"> 202</w:t>
          </w:r>
          <w:r w:rsidR="00617AA3">
            <w:rPr>
              <w:b/>
              <w:color w:val="FFFFFF"/>
              <w:sz w:val="24"/>
            </w:rPr>
            <w:t>6</w:t>
          </w:r>
        </w:p>
      </w:tc>
      <w:tc>
        <w:tcPr>
          <w:tcW w:w="3639" w:type="pct"/>
        </w:tcPr>
        <w:p w14:paraId="61249912" w14:textId="29364525" w:rsidR="00AD343D" w:rsidRPr="00AD343D" w:rsidRDefault="00094B10" w:rsidP="00067069">
          <w:pPr>
            <w:pStyle w:val="Kopfzeile"/>
            <w:rPr>
              <w:rFonts w:ascii="Myriad Pro" w:hAnsi="Myriad Pro"/>
              <w:color w:val="FFFFFF" w:themeColor="background1"/>
              <w:sz w:val="24"/>
            </w:rPr>
          </w:pPr>
          <w:r>
            <w:rPr>
              <w:rFonts w:ascii="Myriad Pro" w:hAnsi="Myriad Pro"/>
              <w:noProof/>
              <w:color w:val="FFFFFF"/>
              <w:sz w:val="24"/>
            </w:rPr>
            <w:pict w14:anchorId="5A9B6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66" type="#_x0000_t75" style="width:313.5pt;height:63pt;visibility:visible;mso-wrap-style:square">
                <v:imagedata r:id="rId1" o:title=""/>
              </v:shape>
            </w:pict>
          </w:r>
        </w:p>
      </w:tc>
    </w:tr>
  </w:tbl>
  <w:p w14:paraId="61249915" w14:textId="60CF9D08" w:rsidR="007A7CA7" w:rsidRDefault="007A7CA7" w:rsidP="00AD343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9F657D7"/>
    <w:multiLevelType w:val="hybridMultilevel"/>
    <w:tmpl w:val="24926CBC"/>
    <w:lvl w:ilvl="0" w:tplc="0407000D">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5"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7"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8"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9"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0"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2239706">
    <w:abstractNumId w:val="10"/>
  </w:num>
  <w:num w:numId="2" w16cid:durableId="1768882820">
    <w:abstractNumId w:val="20"/>
  </w:num>
  <w:num w:numId="3" w16cid:durableId="35158390">
    <w:abstractNumId w:val="22"/>
  </w:num>
  <w:num w:numId="4" w16cid:durableId="1582063786">
    <w:abstractNumId w:val="11"/>
  </w:num>
  <w:num w:numId="5" w16cid:durableId="460341628">
    <w:abstractNumId w:val="7"/>
  </w:num>
  <w:num w:numId="6" w16cid:durableId="1363944139">
    <w:abstractNumId w:val="8"/>
  </w:num>
  <w:num w:numId="7" w16cid:durableId="518814105">
    <w:abstractNumId w:val="13"/>
  </w:num>
  <w:num w:numId="8" w16cid:durableId="484511790">
    <w:abstractNumId w:val="12"/>
  </w:num>
  <w:num w:numId="9" w16cid:durableId="1082413873">
    <w:abstractNumId w:val="9"/>
  </w:num>
  <w:num w:numId="10" w16cid:durableId="1074082828">
    <w:abstractNumId w:val="5"/>
  </w:num>
  <w:num w:numId="11" w16cid:durableId="1311444557">
    <w:abstractNumId w:val="21"/>
  </w:num>
  <w:num w:numId="12" w16cid:durableId="1903829581">
    <w:abstractNumId w:val="15"/>
  </w:num>
  <w:num w:numId="13" w16cid:durableId="405805395">
    <w:abstractNumId w:val="16"/>
  </w:num>
  <w:num w:numId="14" w16cid:durableId="1365642997">
    <w:abstractNumId w:val="14"/>
  </w:num>
  <w:num w:numId="15" w16cid:durableId="135924038">
    <w:abstractNumId w:val="17"/>
  </w:num>
  <w:num w:numId="16" w16cid:durableId="1397776156">
    <w:abstractNumId w:val="18"/>
  </w:num>
  <w:num w:numId="17" w16cid:durableId="1943148140">
    <w:abstractNumId w:val="19"/>
  </w:num>
  <w:num w:numId="18" w16cid:durableId="1515145064">
    <w:abstractNumId w:val="4"/>
  </w:num>
  <w:num w:numId="19" w16cid:durableId="456031427">
    <w:abstractNumId w:val="3"/>
  </w:num>
  <w:num w:numId="20" w16cid:durableId="1288777140">
    <w:abstractNumId w:val="2"/>
  </w:num>
  <w:num w:numId="21" w16cid:durableId="415978180">
    <w:abstractNumId w:val="1"/>
  </w:num>
  <w:num w:numId="22" w16cid:durableId="116141555">
    <w:abstractNumId w:val="0"/>
  </w:num>
  <w:num w:numId="23" w16cid:durableId="14791487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15F"/>
    <w:rsid w:val="00022C51"/>
    <w:rsid w:val="00032A0C"/>
    <w:rsid w:val="00054D90"/>
    <w:rsid w:val="0005538D"/>
    <w:rsid w:val="00067069"/>
    <w:rsid w:val="00070D06"/>
    <w:rsid w:val="00094B10"/>
    <w:rsid w:val="000B50CC"/>
    <w:rsid w:val="000C6A2D"/>
    <w:rsid w:val="0015409B"/>
    <w:rsid w:val="001849BE"/>
    <w:rsid w:val="001B429B"/>
    <w:rsid w:val="00205D0C"/>
    <w:rsid w:val="00220A6D"/>
    <w:rsid w:val="0027096C"/>
    <w:rsid w:val="002766CF"/>
    <w:rsid w:val="0028515F"/>
    <w:rsid w:val="002914CF"/>
    <w:rsid w:val="002A5853"/>
    <w:rsid w:val="002A5D13"/>
    <w:rsid w:val="002B029B"/>
    <w:rsid w:val="002B4419"/>
    <w:rsid w:val="002D45E4"/>
    <w:rsid w:val="002E4378"/>
    <w:rsid w:val="002F7B4F"/>
    <w:rsid w:val="003037F8"/>
    <w:rsid w:val="003676E3"/>
    <w:rsid w:val="00380EF0"/>
    <w:rsid w:val="00393EE5"/>
    <w:rsid w:val="003E3400"/>
    <w:rsid w:val="003F6947"/>
    <w:rsid w:val="00410822"/>
    <w:rsid w:val="0042075B"/>
    <w:rsid w:val="00433F51"/>
    <w:rsid w:val="00436E01"/>
    <w:rsid w:val="004639C0"/>
    <w:rsid w:val="004955F6"/>
    <w:rsid w:val="004A47F9"/>
    <w:rsid w:val="004C2396"/>
    <w:rsid w:val="004D075D"/>
    <w:rsid w:val="0050689E"/>
    <w:rsid w:val="00547B8D"/>
    <w:rsid w:val="00551B88"/>
    <w:rsid w:val="005742A7"/>
    <w:rsid w:val="005847A6"/>
    <w:rsid w:val="00587D31"/>
    <w:rsid w:val="005B4711"/>
    <w:rsid w:val="005D5069"/>
    <w:rsid w:val="005E1850"/>
    <w:rsid w:val="005F099B"/>
    <w:rsid w:val="005F2944"/>
    <w:rsid w:val="00614D0A"/>
    <w:rsid w:val="00617AA3"/>
    <w:rsid w:val="00634BB8"/>
    <w:rsid w:val="00653E72"/>
    <w:rsid w:val="00661981"/>
    <w:rsid w:val="006A5CFE"/>
    <w:rsid w:val="006C7303"/>
    <w:rsid w:val="006D1E0A"/>
    <w:rsid w:val="006E18EF"/>
    <w:rsid w:val="006F066B"/>
    <w:rsid w:val="00726F02"/>
    <w:rsid w:val="00745783"/>
    <w:rsid w:val="00782522"/>
    <w:rsid w:val="007A7CA7"/>
    <w:rsid w:val="007B0290"/>
    <w:rsid w:val="007C0AE5"/>
    <w:rsid w:val="007E1A2E"/>
    <w:rsid w:val="007E4FB4"/>
    <w:rsid w:val="00841FA8"/>
    <w:rsid w:val="00852BFB"/>
    <w:rsid w:val="0085519C"/>
    <w:rsid w:val="008633AC"/>
    <w:rsid w:val="00864D2D"/>
    <w:rsid w:val="00887070"/>
    <w:rsid w:val="008B1F83"/>
    <w:rsid w:val="008D0594"/>
    <w:rsid w:val="008E62B1"/>
    <w:rsid w:val="00937B0B"/>
    <w:rsid w:val="009433D9"/>
    <w:rsid w:val="00953BC9"/>
    <w:rsid w:val="00977733"/>
    <w:rsid w:val="00983536"/>
    <w:rsid w:val="009A62FA"/>
    <w:rsid w:val="009B721F"/>
    <w:rsid w:val="009C2E59"/>
    <w:rsid w:val="00A06C64"/>
    <w:rsid w:val="00A8481A"/>
    <w:rsid w:val="00AA4A0E"/>
    <w:rsid w:val="00AC136E"/>
    <w:rsid w:val="00AD343D"/>
    <w:rsid w:val="00AE23FB"/>
    <w:rsid w:val="00B01FFE"/>
    <w:rsid w:val="00B31A35"/>
    <w:rsid w:val="00B707AF"/>
    <w:rsid w:val="00B87D52"/>
    <w:rsid w:val="00BD71E9"/>
    <w:rsid w:val="00BF7CA7"/>
    <w:rsid w:val="00C04675"/>
    <w:rsid w:val="00C135D1"/>
    <w:rsid w:val="00C310AF"/>
    <w:rsid w:val="00C73E1A"/>
    <w:rsid w:val="00CC38C8"/>
    <w:rsid w:val="00CD04DD"/>
    <w:rsid w:val="00CE4AD2"/>
    <w:rsid w:val="00CF0F08"/>
    <w:rsid w:val="00D86187"/>
    <w:rsid w:val="00DB32C7"/>
    <w:rsid w:val="00E1355A"/>
    <w:rsid w:val="00E2265E"/>
    <w:rsid w:val="00E247F7"/>
    <w:rsid w:val="00EB5C84"/>
    <w:rsid w:val="00ED3984"/>
    <w:rsid w:val="00EF6ADE"/>
    <w:rsid w:val="00F20663"/>
    <w:rsid w:val="00F224C8"/>
    <w:rsid w:val="00F32030"/>
    <w:rsid w:val="00FA19D7"/>
    <w:rsid w:val="00FB3A5A"/>
    <w:rsid w:val="00FC278E"/>
    <w:rsid w:val="00FD33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498F3"/>
  <w15:chartTrackingRefBased/>
  <w15:docId w15:val="{06DDCC91-9BD3-489E-82C0-92CF333E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table" w:styleId="Tabellenraster">
    <w:name w:val="Table Grid"/>
    <w:basedOn w:val="NormaleTabelle"/>
    <w:uiPriority w:val="39"/>
    <w:rsid w:val="006C7303"/>
    <w:rPr>
      <w:rFonts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56FDC3-9DC7-4DF6-8315-4C77AE1F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2941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2013-12-09T11:30:00Z</cp:lastPrinted>
  <dcterms:created xsi:type="dcterms:W3CDTF">2026-10-26T10:49:00Z</dcterms:created>
  <dcterms:modified xsi:type="dcterms:W3CDTF">2026-10-26T10:49:00Z</dcterms:modified>
</cp:coreProperties>
</file>